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E" w:rsidRPr="003F58D8" w:rsidRDefault="00272BAE" w:rsidP="00272BAE">
      <w:pPr>
        <w:pStyle w:val="affff7"/>
        <w:ind w:left="5103"/>
        <w:jc w:val="center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272BAE" w:rsidRPr="003F58D8" w:rsidRDefault="00272BAE" w:rsidP="00272BAE">
      <w:pPr>
        <w:pStyle w:val="affff7"/>
        <w:ind w:left="5103"/>
        <w:jc w:val="center"/>
        <w:rPr>
          <w:color w:val="000000"/>
        </w:rPr>
      </w:pPr>
      <w:r w:rsidRPr="003F58D8">
        <w:rPr>
          <w:b/>
          <w:bCs/>
          <w:color w:val="000000"/>
        </w:rPr>
        <w:t>Распоряжением Президента</w:t>
      </w:r>
    </w:p>
    <w:p w:rsidR="00272BAE" w:rsidRPr="003F58D8" w:rsidRDefault="00272BAE" w:rsidP="00272BAE">
      <w:pPr>
        <w:pStyle w:val="affff7"/>
        <w:ind w:left="5103"/>
        <w:jc w:val="center"/>
        <w:rPr>
          <w:b/>
          <w:bCs/>
          <w:iCs/>
          <w:color w:val="000000"/>
        </w:rPr>
      </w:pPr>
      <w:r w:rsidRPr="003F58D8">
        <w:rPr>
          <w:b/>
          <w:bCs/>
          <w:iCs/>
          <w:color w:val="000000"/>
        </w:rPr>
        <w:t>Открытого акционерного общества</w:t>
      </w:r>
    </w:p>
    <w:p w:rsidR="00272BAE" w:rsidRPr="003F58D8" w:rsidRDefault="00272BAE" w:rsidP="00272BAE">
      <w:pPr>
        <w:pStyle w:val="Default"/>
        <w:ind w:left="5103"/>
        <w:jc w:val="center"/>
        <w:rPr>
          <w:b/>
        </w:rPr>
      </w:pPr>
      <w:r w:rsidRPr="003F58D8">
        <w:rPr>
          <w:b/>
        </w:rPr>
        <w:t>"Клиринговый центр МФБ"</w:t>
      </w:r>
    </w:p>
    <w:p w:rsidR="00722308" w:rsidRPr="00016C3E" w:rsidRDefault="00885D26" w:rsidP="00272BAE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  <w:r w:rsidRPr="008756AA">
        <w:rPr>
          <w:b/>
          <w:bCs/>
        </w:rPr>
        <w:t>№</w:t>
      </w:r>
      <w:r w:rsidR="004E3873" w:rsidRPr="004E3873">
        <w:rPr>
          <w:b/>
          <w:bCs/>
        </w:rPr>
        <w:t xml:space="preserve">69 </w:t>
      </w:r>
      <w:r w:rsidRPr="008756AA">
        <w:rPr>
          <w:b/>
          <w:bCs/>
        </w:rPr>
        <w:t xml:space="preserve">от </w:t>
      </w:r>
      <w:r w:rsidR="004E3873">
        <w:rPr>
          <w:b/>
          <w:bCs/>
          <w:lang w:val="en-US"/>
        </w:rPr>
        <w:t>23</w:t>
      </w:r>
      <w:r w:rsidRPr="008756AA">
        <w:rPr>
          <w:b/>
          <w:bCs/>
        </w:rPr>
        <w:t xml:space="preserve"> </w:t>
      </w:r>
      <w:r w:rsidR="008756AA">
        <w:rPr>
          <w:b/>
        </w:rPr>
        <w:t>декабря</w:t>
      </w:r>
      <w:r w:rsidRPr="008756AA">
        <w:rPr>
          <w:b/>
        </w:rPr>
        <w:t xml:space="preserve"> 2014 года</w:t>
      </w: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541799" w:rsidRDefault="002022B0" w:rsidP="002022B0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МЕТОДИКА УСТАНОВЛЕНИЯ</w:t>
      </w:r>
      <w:r w:rsidRPr="00541799">
        <w:rPr>
          <w:rFonts w:ascii="Times New Roman" w:hAnsi="Times New Roman" w:cs="Times New Roman"/>
          <w:sz w:val="32"/>
          <w:szCs w:val="32"/>
        </w:rPr>
        <w:br/>
        <w:t xml:space="preserve">И ИЗМЕНЕНИЯ </w:t>
      </w:r>
      <w:proofErr w:type="gramStart"/>
      <w:r w:rsidRPr="00541799">
        <w:rPr>
          <w:rFonts w:ascii="Times New Roman" w:hAnsi="Times New Roman" w:cs="Times New Roman"/>
          <w:sz w:val="32"/>
          <w:szCs w:val="32"/>
        </w:rPr>
        <w:t>РИСК-ПАРАМЕТРОВ</w:t>
      </w:r>
      <w:proofErr w:type="gramEnd"/>
      <w:r w:rsidRPr="00541799">
        <w:rPr>
          <w:rFonts w:ascii="Times New Roman" w:hAnsi="Times New Roman" w:cs="Times New Roman"/>
          <w:sz w:val="32"/>
          <w:szCs w:val="32"/>
        </w:rPr>
        <w:br/>
        <w:t>Открытого акционерного общества</w:t>
      </w:r>
    </w:p>
    <w:p w:rsidR="002022B0" w:rsidRPr="00541799" w:rsidRDefault="002022B0" w:rsidP="002022B0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"</w:t>
      </w:r>
      <w:r w:rsidR="00765193" w:rsidRPr="00541799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Pr="00541799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8D7E03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8756AA" w:rsidRDefault="0024001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8D7E03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07360443" w:history="1">
        <w:r w:rsidR="008756AA" w:rsidRPr="00ED5854">
          <w:rPr>
            <w:rStyle w:val="afe"/>
          </w:rPr>
          <w:t>Статья 1.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Общие положения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756AA" w:rsidRDefault="0024001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4" w:history="1">
        <w:r w:rsidR="008756AA" w:rsidRPr="00ED5854">
          <w:rPr>
            <w:rStyle w:val="afe"/>
          </w:rPr>
          <w:t>Статья 2.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Перечень риск-параметров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756AA" w:rsidRDefault="0024001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5" w:history="1">
        <w:r w:rsidR="008756AA" w:rsidRPr="00ED5854">
          <w:rPr>
            <w:rStyle w:val="afe"/>
          </w:rPr>
          <w:t>Статья 3.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определения Расчетной цены ценной бумаги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756AA" w:rsidRDefault="0024001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6" w:history="1">
        <w:r w:rsidR="008756AA" w:rsidRPr="00ED5854">
          <w:rPr>
            <w:rStyle w:val="afe"/>
          </w:rPr>
          <w:t>Статья 4.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определения Цены заявок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756AA" w:rsidRDefault="0024001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7" w:history="1">
        <w:r w:rsidR="008756AA" w:rsidRPr="00ED5854">
          <w:rPr>
            <w:rStyle w:val="afe"/>
          </w:rPr>
          <w:t>Статья 5.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определения курса иностранной валюты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756AA" w:rsidRDefault="0024001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8" w:history="1">
        <w:r w:rsidR="008756AA" w:rsidRPr="00ED5854">
          <w:rPr>
            <w:rStyle w:val="afe"/>
          </w:rPr>
          <w:t>Статья 6.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установления и изменения Радиуса, Верхнего/Нижнего лимита перерасчета Радиуса, Лимита и Верхнего/Нижнего лимита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756AA" w:rsidRDefault="0024001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9" w:history="1">
        <w:r w:rsidR="008756AA" w:rsidRPr="00ED5854">
          <w:rPr>
            <w:rStyle w:val="afe"/>
          </w:rPr>
          <w:t>Статья 7.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определения стоимости имущества, принимаемого в индивидуальное и коллективное клиринговое обеспечение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75A5B" w:rsidRPr="00016C3E" w:rsidRDefault="00240013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  <w:b w:val="0"/>
        </w:rPr>
        <w:br w:type="page"/>
      </w:r>
      <w:bookmarkStart w:id="0" w:name="_Toc407360443"/>
      <w:r w:rsidR="008D7E03" w:rsidRPr="00016C3E">
        <w:rPr>
          <w:rFonts w:ascii="Times New Roman" w:hAnsi="Times New Roman"/>
        </w:rPr>
        <w:lastRenderedPageBreak/>
        <w:t>Общие положения</w:t>
      </w:r>
      <w:bookmarkEnd w:id="0"/>
    </w:p>
    <w:p w:rsidR="008D7E03" w:rsidRPr="00016C3E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016C3E">
        <w:rPr>
          <w:rFonts w:ascii="Times New Roman" w:hAnsi="Times New Roman"/>
        </w:rPr>
        <w:t>Настоящ</w:t>
      </w:r>
      <w:r w:rsidR="0027099E" w:rsidRPr="00016C3E">
        <w:rPr>
          <w:rFonts w:ascii="Times New Roman" w:hAnsi="Times New Roman"/>
        </w:rPr>
        <w:t>ая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 xml:space="preserve">Методика установления и изменения </w:t>
      </w:r>
      <w:proofErr w:type="spellStart"/>
      <w:r w:rsidR="0027099E" w:rsidRPr="00016C3E">
        <w:rPr>
          <w:rFonts w:ascii="Times New Roman" w:hAnsi="Times New Roman"/>
        </w:rPr>
        <w:t>риск-параметров</w:t>
      </w:r>
      <w:proofErr w:type="spellEnd"/>
      <w:r w:rsidRPr="00016C3E">
        <w:rPr>
          <w:rFonts w:ascii="Times New Roman" w:hAnsi="Times New Roman"/>
        </w:rPr>
        <w:t xml:space="preserve"> Открытого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Pr="00016C3E">
        <w:rPr>
          <w:rFonts w:ascii="Times New Roman" w:hAnsi="Times New Roman"/>
        </w:rPr>
        <w:t xml:space="preserve">» (далее –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>)</w:t>
      </w:r>
      <w:r w:rsidR="000C2D28" w:rsidRPr="00016C3E">
        <w:rPr>
          <w:rFonts w:ascii="Times New Roman" w:hAnsi="Times New Roman"/>
        </w:rPr>
        <w:t>, разработан</w:t>
      </w:r>
      <w:r w:rsidR="0027099E" w:rsidRPr="00016C3E">
        <w:rPr>
          <w:rFonts w:ascii="Times New Roman" w:hAnsi="Times New Roman"/>
        </w:rPr>
        <w:t>ная</w:t>
      </w:r>
      <w:r w:rsidR="000C2D28" w:rsidRPr="00016C3E">
        <w:rPr>
          <w:rFonts w:ascii="Times New Roman" w:hAnsi="Times New Roman"/>
        </w:rPr>
        <w:t xml:space="preserve"> в соответствии с</w:t>
      </w:r>
      <w:r w:rsidRPr="00016C3E">
        <w:rPr>
          <w:rFonts w:ascii="Times New Roman" w:hAnsi="Times New Roman"/>
        </w:rPr>
        <w:t xml:space="preserve"> </w:t>
      </w:r>
      <w:r w:rsidR="000C2D28" w:rsidRPr="00016C3E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016C3E">
        <w:rPr>
          <w:rFonts w:ascii="Times New Roman" w:hAnsi="Times New Roman"/>
        </w:rPr>
        <w:t xml:space="preserve">на рынке ценных бумаг </w:t>
      </w:r>
      <w:r w:rsidR="000C2D28" w:rsidRPr="00016C3E">
        <w:rPr>
          <w:rFonts w:ascii="Times New Roman" w:hAnsi="Times New Roman"/>
        </w:rPr>
        <w:t>Открытого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="000C2D28" w:rsidRPr="00016C3E">
        <w:rPr>
          <w:rFonts w:ascii="Times New Roman" w:hAnsi="Times New Roman"/>
        </w:rPr>
        <w:t>» (далее – Правила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0C2D28" w:rsidRPr="00016C3E">
        <w:rPr>
          <w:rFonts w:ascii="Times New Roman" w:hAnsi="Times New Roman"/>
        </w:rPr>
        <w:t>)</w:t>
      </w:r>
      <w:r w:rsidR="0064328D" w:rsidRPr="00016C3E">
        <w:rPr>
          <w:rFonts w:ascii="Times New Roman" w:hAnsi="Times New Roman"/>
        </w:rPr>
        <w:t xml:space="preserve"> </w:t>
      </w:r>
      <w:r w:rsidR="00CA6469">
        <w:rPr>
          <w:rFonts w:ascii="Times New Roman" w:hAnsi="Times New Roman"/>
        </w:rPr>
        <w:t>и в</w:t>
      </w:r>
      <w:r w:rsidR="0064328D" w:rsidRPr="00016C3E">
        <w:rPr>
          <w:rFonts w:ascii="Times New Roman" w:hAnsi="Times New Roman"/>
        </w:rPr>
        <w:t xml:space="preserve"> соответствии с Правилами осуществления клиринговой деятельности на рынке производных финансовых инструментов Открытого акционерного общества «Клиринговый центр МФБ» (далее – Правила</w:t>
      </w:r>
      <w:proofErr w:type="gramEnd"/>
      <w:r w:rsidR="0064328D" w:rsidRPr="00016C3E">
        <w:rPr>
          <w:rFonts w:ascii="Times New Roman" w:hAnsi="Times New Roman"/>
        </w:rPr>
        <w:t xml:space="preserve"> клиринга на рынке производных финансовых инструментов)</w:t>
      </w:r>
      <w:r w:rsidR="0047658A" w:rsidRPr="00016C3E">
        <w:rPr>
          <w:rFonts w:ascii="Times New Roman" w:hAnsi="Times New Roman"/>
        </w:rPr>
        <w:t>,</w:t>
      </w:r>
      <w:r w:rsidR="0027099E" w:rsidRPr="00016C3E">
        <w:rPr>
          <w:rFonts w:ascii="Times New Roman" w:hAnsi="Times New Roman"/>
        </w:rPr>
        <w:t xml:space="preserve"> устанавливает перечень </w:t>
      </w:r>
      <w:proofErr w:type="spellStart"/>
      <w:proofErr w:type="gramStart"/>
      <w:r w:rsidR="0027099E" w:rsidRPr="00016C3E">
        <w:rPr>
          <w:rFonts w:ascii="Times New Roman" w:hAnsi="Times New Roman"/>
        </w:rPr>
        <w:t>риск-п</w:t>
      </w:r>
      <w:r w:rsidR="00F6765D" w:rsidRPr="00016C3E">
        <w:rPr>
          <w:rFonts w:ascii="Times New Roman" w:hAnsi="Times New Roman"/>
        </w:rPr>
        <w:t>а</w:t>
      </w:r>
      <w:r w:rsidR="0027099E" w:rsidRPr="00016C3E">
        <w:rPr>
          <w:rFonts w:ascii="Times New Roman" w:hAnsi="Times New Roman"/>
        </w:rPr>
        <w:t>раметров</w:t>
      </w:r>
      <w:proofErr w:type="spellEnd"/>
      <w:proofErr w:type="gramEnd"/>
      <w:r w:rsidR="0027099E" w:rsidRPr="00016C3E">
        <w:rPr>
          <w:rFonts w:ascii="Times New Roman" w:hAnsi="Times New Roman"/>
        </w:rPr>
        <w:t>, порядок их определения и изменения</w:t>
      </w:r>
      <w:r w:rsidR="00FF0A10">
        <w:rPr>
          <w:rFonts w:ascii="Times New Roman" w:hAnsi="Times New Roman"/>
        </w:rPr>
        <w:t xml:space="preserve">, а также </w:t>
      </w:r>
      <w:r w:rsidR="001072C1" w:rsidRPr="001072C1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правила определения стоимости имущества, принимаемого в индивидуальное</w:t>
      </w:r>
      <w:r w:rsidR="00E24CAD">
        <w:rPr>
          <w:rFonts w:ascii="Times New Roman" w:hAnsi="Times New Roman"/>
        </w:rPr>
        <w:t xml:space="preserve"> и коллективное</w:t>
      </w:r>
      <w:r w:rsidR="001072C1" w:rsidRPr="00856046">
        <w:rPr>
          <w:rFonts w:ascii="Times New Roman" w:hAnsi="Times New Roman"/>
        </w:rPr>
        <w:t xml:space="preserve"> клиринговое обеспечение.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016C3E">
        <w:rPr>
          <w:rFonts w:ascii="Times New Roman" w:hAnsi="Times New Roman"/>
        </w:rPr>
        <w:t>Методику</w:t>
      </w:r>
      <w:r w:rsidRPr="00016C3E">
        <w:rPr>
          <w:rFonts w:ascii="Times New Roman" w:hAnsi="Times New Roman"/>
        </w:rPr>
        <w:t xml:space="preserve">, в том числе принятие </w:t>
      </w:r>
      <w:r w:rsidR="0027099E" w:rsidRPr="00016C3E">
        <w:rPr>
          <w:rFonts w:ascii="Times New Roman" w:hAnsi="Times New Roman"/>
        </w:rPr>
        <w:t>Методики</w:t>
      </w:r>
      <w:r w:rsidRPr="00016C3E">
        <w:rPr>
          <w:rFonts w:ascii="Times New Roman" w:hAnsi="Times New Roman"/>
        </w:rPr>
        <w:t xml:space="preserve"> в новой редакции, осуществляется путем размещения указанных изменений (новой редакции) на Сайте КЦ.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 xml:space="preserve">вступают в силу после раскрытия информации об этом в соответствии с настоящим пунктом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Термины и определения, используемые в настояще</w:t>
      </w:r>
      <w:r w:rsidR="0027099E" w:rsidRPr="00016C3E">
        <w:rPr>
          <w:rFonts w:ascii="Times New Roman" w:hAnsi="Times New Roman"/>
        </w:rPr>
        <w:t>й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Pr="00016C3E">
        <w:rPr>
          <w:rFonts w:ascii="Times New Roman" w:hAnsi="Times New Roman"/>
        </w:rPr>
        <w:t xml:space="preserve">, </w:t>
      </w:r>
      <w:r w:rsidR="0064328D" w:rsidRPr="00016C3E">
        <w:rPr>
          <w:rFonts w:ascii="Times New Roman" w:hAnsi="Times New Roman"/>
        </w:rPr>
        <w:t>Правилами клиринга на рынке производных финансовых инструментов</w:t>
      </w:r>
      <w:r w:rsidR="00577FE1" w:rsidRPr="00577FE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577FE1" w:rsidRPr="00577FE1">
        <w:rPr>
          <w:rFonts w:ascii="Times New Roman" w:hAnsi="Times New Roman"/>
        </w:rPr>
        <w:t>Федеральным законом «О клиринге и клиринговой деятельности» и принятыми в соответствии с ним нормативными актами.</w:t>
      </w:r>
    </w:p>
    <w:p w:rsidR="00936C30" w:rsidRPr="00016C3E" w:rsidRDefault="002020F2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Порядок установления значений и расчета Базового размера гарантийного обеспечения и 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подлежит раскрытию на Сайте КЦ.</w:t>
      </w:r>
    </w:p>
    <w:p w:rsidR="00936C30" w:rsidRPr="003706A9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настоящей Методике используются </w:t>
      </w:r>
      <w:r w:rsidRPr="003706A9">
        <w:rPr>
          <w:rFonts w:ascii="Times New Roman" w:hAnsi="Times New Roman"/>
        </w:rPr>
        <w:t>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3"/>
      </w:tblGrid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3706A9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proofErr w:type="spellStart"/>
            <w:r w:rsidRPr="00577FE1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54179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>Обозначение</w:t>
            </w:r>
            <w:r w:rsidR="00BF2ACA" w:rsidRPr="00BF2ACA">
              <w:rPr>
                <w:rFonts w:ascii="Times New Roman" w:hAnsi="Times New Roman"/>
              </w:rPr>
              <w:t xml:space="preserve"> Торгового дня </w:t>
            </w:r>
            <w:r w:rsidRPr="00BF2ACA">
              <w:rPr>
                <w:rFonts w:ascii="Times New Roman" w:hAnsi="Times New Roman"/>
              </w:rPr>
              <w:t>(подстрочный индекс).</w:t>
            </w:r>
          </w:p>
        </w:tc>
      </w:tr>
      <w:tr w:rsidR="00936C30" w:rsidRPr="00016C3E" w:rsidTr="00CA2C4B">
        <w:tc>
          <w:tcPr>
            <w:tcW w:w="4783" w:type="dxa"/>
            <w:shd w:val="clear" w:color="auto" w:fill="auto"/>
          </w:tcPr>
          <w:p w:rsidR="00936C30" w:rsidRPr="00B7303B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3706A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3706A9">
              <w:rPr>
                <w:rFonts w:ascii="Times New Roman" w:hAnsi="Times New Roman"/>
              </w:rPr>
              <w:t>Обозначение первого Торгового дня</w:t>
            </w:r>
            <w:r w:rsidR="00577FE1" w:rsidRPr="00577FE1">
              <w:rPr>
                <w:rFonts w:ascii="Times New Roman" w:hAnsi="Times New Roman"/>
              </w:rPr>
              <w:t xml:space="preserve"> обращения</w:t>
            </w:r>
            <w:r w:rsidRPr="00BF2ACA">
              <w:rPr>
                <w:rFonts w:ascii="Times New Roman" w:hAnsi="Times New Roman"/>
              </w:rPr>
              <w:t xml:space="preserve"> ценной бумаг</w:t>
            </w:r>
            <w:r w:rsidR="0064328D" w:rsidRPr="00BF2ACA">
              <w:rPr>
                <w:rFonts w:ascii="Times New Roman" w:hAnsi="Times New Roman"/>
              </w:rPr>
              <w:t>и/</w:t>
            </w:r>
            <w:r w:rsidR="00577FE1" w:rsidRPr="00577FE1">
              <w:rPr>
                <w:rFonts w:ascii="Times New Roman" w:hAnsi="Times New Roman"/>
              </w:rPr>
              <w:t xml:space="preserve"> первого Торгового дня, в течение которого заключается договор, являющийся  </w:t>
            </w:r>
            <w:r w:rsidR="0064328D" w:rsidRPr="003706A9">
              <w:rPr>
                <w:rFonts w:ascii="Times New Roman" w:hAnsi="Times New Roman"/>
              </w:rPr>
              <w:t>производн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финансов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инструмен</w:t>
            </w:r>
            <w:r w:rsidR="00577FE1" w:rsidRPr="00577FE1">
              <w:rPr>
                <w:rFonts w:ascii="Times New Roman" w:hAnsi="Times New Roman"/>
              </w:rPr>
              <w:t>том</w:t>
            </w:r>
            <w:r w:rsidRPr="00BF2ACA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</w:tbl>
    <w:p w:rsidR="0027099E" w:rsidRPr="00016C3E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1" w:name="_Toc407360444"/>
      <w:r w:rsidRPr="00016C3E">
        <w:rPr>
          <w:rFonts w:ascii="Times New Roman" w:hAnsi="Times New Roman"/>
        </w:rPr>
        <w:t xml:space="preserve">Перечень </w:t>
      </w:r>
      <w:proofErr w:type="spellStart"/>
      <w:proofErr w:type="gramStart"/>
      <w:r w:rsidRPr="00016C3E">
        <w:rPr>
          <w:rFonts w:ascii="Times New Roman" w:hAnsi="Times New Roman"/>
        </w:rPr>
        <w:t>риск-параметров</w:t>
      </w:r>
      <w:bookmarkEnd w:id="1"/>
      <w:proofErr w:type="spellEnd"/>
      <w:proofErr w:type="gramEnd"/>
    </w:p>
    <w:p w:rsidR="0027099E" w:rsidRPr="00016C3E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список </w:t>
      </w:r>
      <w:proofErr w:type="spellStart"/>
      <w:r w:rsidRPr="00016C3E">
        <w:rPr>
          <w:rFonts w:ascii="Times New Roman" w:hAnsi="Times New Roman"/>
        </w:rPr>
        <w:t>риск-параметров</w:t>
      </w:r>
      <w:proofErr w:type="spellEnd"/>
      <w:r w:rsidRPr="00016C3E">
        <w:rPr>
          <w:rFonts w:ascii="Times New Roman" w:hAnsi="Times New Roman"/>
        </w:rPr>
        <w:t xml:space="preserve">, </w:t>
      </w:r>
      <w:proofErr w:type="gramStart"/>
      <w:r w:rsidR="002B54FE" w:rsidRPr="00016C3E">
        <w:rPr>
          <w:rFonts w:ascii="Times New Roman" w:hAnsi="Times New Roman"/>
        </w:rPr>
        <w:t>устанавливаемых</w:t>
      </w:r>
      <w:proofErr w:type="gramEnd"/>
      <w:r w:rsidR="002B54FE" w:rsidRPr="00016C3E">
        <w:rPr>
          <w:rFonts w:ascii="Times New Roman" w:hAnsi="Times New Roman"/>
        </w:rPr>
        <w:t xml:space="preserve"> </w:t>
      </w:r>
      <w:r w:rsidR="002F1D77" w:rsidRPr="00016C3E">
        <w:rPr>
          <w:rFonts w:ascii="Times New Roman" w:hAnsi="Times New Roman"/>
        </w:rPr>
        <w:t>КЦ</w:t>
      </w:r>
      <w:r w:rsidR="002B54FE" w:rsidRPr="00016C3E">
        <w:rPr>
          <w:rFonts w:ascii="Times New Roman" w:hAnsi="Times New Roman"/>
        </w:rPr>
        <w:t xml:space="preserve"> на основании экспертной</w:t>
      </w:r>
      <w:r w:rsidR="00FA27F5" w:rsidRPr="00016C3E">
        <w:rPr>
          <w:rFonts w:ascii="Times New Roman" w:hAnsi="Times New Roman"/>
        </w:rPr>
        <w:t xml:space="preserve"> оценки</w:t>
      </w:r>
      <w:r w:rsidR="00F6765D" w:rsidRPr="00016C3E">
        <w:rPr>
          <w:rFonts w:ascii="Times New Roman" w:hAnsi="Times New Roman"/>
        </w:rPr>
        <w:t>,</w:t>
      </w:r>
      <w:r w:rsidR="00FA27F5" w:rsidRPr="00016C3E">
        <w:rPr>
          <w:rFonts w:ascii="Times New Roman" w:hAnsi="Times New Roman"/>
        </w:rPr>
        <w:t xml:space="preserve"> входят</w:t>
      </w:r>
      <w:r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/>
      </w:tblPr>
      <w:tblGrid>
        <w:gridCol w:w="2283"/>
        <w:gridCol w:w="3934"/>
        <w:gridCol w:w="3422"/>
      </w:tblGrid>
      <w:tr w:rsidR="0037067B" w:rsidRPr="00016C3E" w:rsidTr="001072C1">
        <w:trPr>
          <w:trHeight w:val="242"/>
        </w:trPr>
        <w:tc>
          <w:tcPr>
            <w:tcW w:w="2283" w:type="dxa"/>
          </w:tcPr>
          <w:p w:rsidR="0037067B" w:rsidRPr="00016C3E" w:rsidRDefault="0037067B" w:rsidP="00C55EE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934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2" w:type="dxa"/>
          </w:tcPr>
          <w:p w:rsidR="0037067B" w:rsidRPr="00016C3E" w:rsidRDefault="0037067B" w:rsidP="0037067B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 xml:space="preserve">Пояснение по установке величины </w:t>
            </w:r>
            <w:proofErr w:type="spellStart"/>
            <w:proofErr w:type="gramStart"/>
            <w:r w:rsidRPr="00016C3E">
              <w:rPr>
                <w:b/>
                <w:color w:val="000000"/>
                <w:sz w:val="20"/>
                <w:szCs w:val="20"/>
              </w:rPr>
              <w:t>риск-параметра</w:t>
            </w:r>
            <w:proofErr w:type="spellEnd"/>
            <w:proofErr w:type="gramEnd"/>
          </w:p>
        </w:tc>
      </w:tr>
      <w:tr w:rsidR="0037067B" w:rsidRPr="00016C3E" w:rsidTr="001072C1">
        <w:trPr>
          <w:trHeight w:val="254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MBIM</w:t>
            </w:r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Минимальное Базовое гарантийное обеспечение (в процентах)</w:t>
            </w:r>
          </w:p>
        </w:tc>
        <w:tc>
          <w:tcPr>
            <w:tcW w:w="3422" w:type="dxa"/>
          </w:tcPr>
          <w:p w:rsidR="0037067B" w:rsidRPr="00016C3E" w:rsidRDefault="00DD68E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Считается на основе 99-процентной исторической </w:t>
            </w:r>
            <w:proofErr w:type="spellStart"/>
            <w:r w:rsidR="00577FE1" w:rsidRPr="00577FE1">
              <w:rPr>
                <w:color w:val="000000"/>
                <w:sz w:val="20"/>
                <w:szCs w:val="20"/>
              </w:rPr>
              <w:t>Value-at-Risk</w:t>
            </w:r>
            <w:proofErr w:type="spellEnd"/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rUp</w:t>
            </w:r>
            <w:proofErr w:type="spellEnd"/>
          </w:p>
        </w:tc>
        <w:tc>
          <w:tcPr>
            <w:tcW w:w="3934" w:type="dxa"/>
            <w:hideMark/>
          </w:tcPr>
          <w:p w:rsidR="0037067B" w:rsidRPr="001072C1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верхней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37067B" w:rsidRPr="00016C3E" w:rsidRDefault="00C31E7E" w:rsidP="00242737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сверху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договорам </w:t>
            </w:r>
            <w:r w:rsidR="00CE4A46" w:rsidRPr="00016C3E">
              <w:rPr>
                <w:color w:val="000000"/>
                <w:sz w:val="20"/>
                <w:szCs w:val="20"/>
              </w:rPr>
              <w:t>РЕПО</w:t>
            </w: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rDown</w:t>
            </w:r>
            <w:proofErr w:type="spellEnd"/>
          </w:p>
        </w:tc>
        <w:tc>
          <w:tcPr>
            <w:tcW w:w="3934" w:type="dxa"/>
            <w:hideMark/>
          </w:tcPr>
          <w:p w:rsidR="00C31E7E" w:rsidRPr="001072C1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C31E7E" w:rsidRPr="00016C3E" w:rsidRDefault="003C5D12" w:rsidP="00D308B5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снизу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договорам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 РЕПО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577FE1" w:rsidP="00762CA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fine_debt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</w:t>
            </w:r>
            <w:r w:rsidR="00F6765D" w:rsidRPr="00BF2ACA">
              <w:rPr>
                <w:color w:val="000000"/>
                <w:sz w:val="20"/>
                <w:szCs w:val="20"/>
              </w:rPr>
              <w:t>,</w:t>
            </w:r>
            <w:r w:rsidRPr="00BF2ACA">
              <w:rPr>
                <w:color w:val="000000"/>
                <w:sz w:val="20"/>
                <w:szCs w:val="20"/>
              </w:rPr>
              <w:t xml:space="preserve"> взимаемая с Участника клиринга в случае, </w:t>
            </w:r>
            <w:r w:rsidR="0064328D" w:rsidRPr="00BF2ACA">
              <w:rPr>
                <w:color w:val="000000"/>
                <w:sz w:val="20"/>
                <w:szCs w:val="20"/>
              </w:rPr>
              <w:t xml:space="preserve">возникновения задолженности </w:t>
            </w:r>
            <w:r w:rsidR="00551F7F" w:rsidRPr="00BF2ACA">
              <w:rPr>
                <w:color w:val="000000"/>
                <w:sz w:val="20"/>
                <w:szCs w:val="20"/>
              </w:rPr>
              <w:t>по</w:t>
            </w:r>
            <w:r w:rsidRPr="00BF2ACA">
              <w:rPr>
                <w:sz w:val="20"/>
                <w:szCs w:val="20"/>
              </w:rPr>
              <w:t xml:space="preserve"> денежном</w:t>
            </w:r>
            <w:r w:rsidR="00551F7F" w:rsidRPr="00BF2ACA">
              <w:rPr>
                <w:sz w:val="20"/>
                <w:szCs w:val="20"/>
              </w:rPr>
              <w:t>у</w:t>
            </w:r>
            <w:r w:rsidRPr="00BF2ACA">
              <w:rPr>
                <w:sz w:val="20"/>
                <w:szCs w:val="20"/>
              </w:rPr>
              <w:t xml:space="preserve"> регистр</w:t>
            </w:r>
            <w:r w:rsidR="00551F7F" w:rsidRPr="00BF2ACA">
              <w:rPr>
                <w:sz w:val="20"/>
                <w:szCs w:val="20"/>
              </w:rPr>
              <w:t>у</w:t>
            </w:r>
            <w:r w:rsidR="001072C1" w:rsidRPr="00856046">
              <w:rPr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  <w:r w:rsidRPr="00BF2ACA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C31E7E" w:rsidRPr="00016C3E" w:rsidRDefault="00203284" w:rsidP="006D133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сверху стоимости привлечения денег </w:t>
            </w:r>
            <w:r w:rsidR="002F1D77" w:rsidRPr="00016C3E">
              <w:rPr>
                <w:color w:val="000000"/>
                <w:sz w:val="20"/>
                <w:szCs w:val="20"/>
              </w:rPr>
              <w:t>КЦ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cHor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увеличения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lastRenderedPageBreak/>
              <w:t>cShr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уменьшения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 дней до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DaysShr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</w:t>
            </w:r>
            <w:r w:rsidR="00762CA1" w:rsidRPr="00016C3E">
              <w:rPr>
                <w:color w:val="000000"/>
                <w:sz w:val="20"/>
                <w:szCs w:val="20"/>
              </w:rPr>
              <w:t xml:space="preserve"> </w:t>
            </w:r>
            <w:r w:rsidR="00BF2ACA">
              <w:rPr>
                <w:color w:val="000000"/>
                <w:sz w:val="20"/>
                <w:szCs w:val="20"/>
              </w:rPr>
              <w:t xml:space="preserve">Торговых дней </w:t>
            </w:r>
            <w:r w:rsidRPr="00016C3E">
              <w:rPr>
                <w:color w:val="000000"/>
                <w:sz w:val="20"/>
                <w:szCs w:val="20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  <w:r w:rsidR="009D0063"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CondShr</w:t>
            </w:r>
            <w:proofErr w:type="spellEnd"/>
          </w:p>
        </w:tc>
        <w:tc>
          <w:tcPr>
            <w:tcW w:w="3934" w:type="dxa"/>
            <w:hideMark/>
          </w:tcPr>
          <w:p w:rsidR="00C31E7E" w:rsidRPr="003706A9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условия для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470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TimeExp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Время в минутах</w:t>
            </w:r>
            <w:r w:rsidR="004B5573">
              <w:rPr>
                <w:color w:val="000000"/>
                <w:sz w:val="20"/>
                <w:szCs w:val="20"/>
              </w:rPr>
              <w:t>,</w:t>
            </w:r>
            <w:r w:rsidRPr="003706A9">
              <w:rPr>
                <w:color w:val="000000"/>
                <w:sz w:val="20"/>
                <w:szCs w:val="20"/>
              </w:rPr>
              <w:t xml:space="preserve"> </w:t>
            </w:r>
            <w:r w:rsidRPr="00BF2ACA">
              <w:rPr>
                <w:color w:val="000000"/>
                <w:sz w:val="20"/>
                <w:szCs w:val="20"/>
              </w:rPr>
              <w:t xml:space="preserve">необходимое для </w:t>
            </w:r>
            <w:proofErr w:type="spellStart"/>
            <w:r w:rsidRPr="00BF2ACA">
              <w:rPr>
                <w:color w:val="000000"/>
                <w:sz w:val="20"/>
                <w:szCs w:val="20"/>
              </w:rPr>
              <w:t>внутридневного</w:t>
            </w:r>
            <w:proofErr w:type="spellEnd"/>
            <w:r w:rsidRPr="00BF2ACA">
              <w:rPr>
                <w:color w:val="000000"/>
                <w:sz w:val="20"/>
                <w:szCs w:val="20"/>
              </w:rPr>
              <w:t xml:space="preserve">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sUp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2</w:t>
            </w:r>
            <w:r w:rsidR="00551F7F" w:rsidRPr="00F12719">
              <w:rPr>
                <w:color w:val="000000"/>
                <w:sz w:val="20"/>
                <w:szCs w:val="20"/>
              </w:rPr>
              <w:t>7</w:t>
            </w:r>
            <w:r w:rsidRPr="00F12719">
              <w:rPr>
                <w:color w:val="000000"/>
                <w:sz w:val="20"/>
                <w:szCs w:val="20"/>
              </w:rPr>
              <w:t>.</w:t>
            </w:r>
            <w:r w:rsidR="00551F7F" w:rsidRPr="00F12719">
              <w:rPr>
                <w:color w:val="000000"/>
                <w:sz w:val="20"/>
                <w:szCs w:val="20"/>
              </w:rPr>
              <w:t>17.</w:t>
            </w:r>
            <w:r w:rsidR="00577FE1" w:rsidRPr="00F12719">
              <w:rPr>
                <w:color w:val="000000"/>
                <w:sz w:val="20"/>
                <w:szCs w:val="20"/>
              </w:rPr>
              <w:t xml:space="preserve"> и 27.18.</w:t>
            </w:r>
            <w:r w:rsidRPr="00F12719">
              <w:rPr>
                <w:color w:val="000000"/>
                <w:sz w:val="20"/>
                <w:szCs w:val="20"/>
              </w:rPr>
              <w:t xml:space="preserve"> 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sDown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</w:t>
            </w:r>
            <w:r w:rsidR="00577FE1" w:rsidRPr="00F12719">
              <w:rPr>
                <w:color w:val="000000"/>
                <w:sz w:val="20"/>
                <w:szCs w:val="20"/>
              </w:rPr>
              <w:t>27.17. и 27.18.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</w:t>
            </w:r>
            <w:r w:rsidRPr="00F12719">
              <w:rPr>
                <w:color w:val="000000"/>
                <w:sz w:val="20"/>
                <w:szCs w:val="20"/>
              </w:rPr>
              <w:t>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IMCoeff</w:t>
            </w:r>
            <w:proofErr w:type="spellEnd"/>
          </w:p>
        </w:tc>
        <w:tc>
          <w:tcPr>
            <w:tcW w:w="3934" w:type="dxa"/>
          </w:tcPr>
          <w:p w:rsidR="00762CA1" w:rsidRPr="001072C1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 xml:space="preserve">Коэффициент, определенный для ценной бумаги для расчета оценочного объема </w:t>
            </w:r>
            <w:r w:rsidR="002A16BB" w:rsidRPr="00F12719">
              <w:rPr>
                <w:color w:val="000000"/>
                <w:sz w:val="20"/>
                <w:szCs w:val="20"/>
              </w:rPr>
              <w:t>Г</w:t>
            </w:r>
            <w:r w:rsidRPr="00F12719">
              <w:rPr>
                <w:color w:val="000000"/>
                <w:sz w:val="20"/>
                <w:szCs w:val="20"/>
              </w:rPr>
              <w:t>арантийного обеспечения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DV</w:t>
            </w:r>
          </w:p>
        </w:tc>
        <w:tc>
          <w:tcPr>
            <w:tcW w:w="3934" w:type="dxa"/>
          </w:tcPr>
          <w:p w:rsidR="00762CA1" w:rsidRPr="00016C3E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F12719">
              <w:rPr>
                <w:color w:val="000000"/>
                <w:sz w:val="20"/>
                <w:szCs w:val="20"/>
              </w:rPr>
              <w:t xml:space="preserve"> договоров</w:t>
            </w:r>
            <w:r w:rsidRPr="00F12719">
              <w:rPr>
                <w:color w:val="000000"/>
                <w:sz w:val="20"/>
                <w:szCs w:val="20"/>
              </w:rPr>
              <w:t xml:space="preserve"> на торгах иного организатора торговли</w:t>
            </w:r>
            <w:r w:rsidR="006C7E71" w:rsidRPr="00F12719">
              <w:rPr>
                <w:color w:val="000000"/>
                <w:sz w:val="20"/>
                <w:szCs w:val="20"/>
              </w:rPr>
              <w:t xml:space="preserve"> </w:t>
            </w:r>
            <w:r w:rsidR="006C7E71">
              <w:rPr>
                <w:color w:val="000000"/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924352" w:rsidRPr="00016C3E" w:rsidTr="001072C1">
        <w:trPr>
          <w:trHeight w:val="470"/>
        </w:trPr>
        <w:tc>
          <w:tcPr>
            <w:tcW w:w="2283" w:type="dxa"/>
          </w:tcPr>
          <w:p w:rsidR="0092435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fine_donor</w:t>
            </w:r>
            <w:proofErr w:type="spellEnd"/>
          </w:p>
        </w:tc>
        <w:tc>
          <w:tcPr>
            <w:tcW w:w="3934" w:type="dxa"/>
          </w:tcPr>
          <w:p w:rsidR="00577FE1" w:rsidRDefault="00924352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взимаемая с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ТКС-донора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="001072C1">
              <w:rPr>
                <w:color w:val="000000"/>
                <w:sz w:val="20"/>
                <w:szCs w:val="20"/>
              </w:rPr>
              <w:t>незаключении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Донорск</w:t>
            </w:r>
            <w:r w:rsidR="00D308B5" w:rsidRPr="00016C3E">
              <w:rPr>
                <w:color w:val="000000"/>
                <w:sz w:val="20"/>
                <w:szCs w:val="20"/>
              </w:rPr>
              <w:t>ого договора</w:t>
            </w:r>
            <w:r w:rsidRPr="00016C3E">
              <w:rPr>
                <w:color w:val="000000"/>
                <w:sz w:val="20"/>
                <w:szCs w:val="20"/>
              </w:rPr>
              <w:t xml:space="preserve"> по вине Участника клиринга</w:t>
            </w:r>
            <w:r w:rsidR="006C7E71">
              <w:rPr>
                <w:color w:val="000000"/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924352" w:rsidRPr="00016C3E" w:rsidRDefault="0092435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3D7E42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proofErr w:type="spellStart"/>
            <w:r w:rsidR="00551F7F" w:rsidRPr="00016C3E">
              <w:rPr>
                <w:color w:val="000000"/>
                <w:sz w:val="20"/>
                <w:szCs w:val="20"/>
              </w:rPr>
              <w:t>взымаемая</w:t>
            </w:r>
            <w:proofErr w:type="spellEnd"/>
            <w:r w:rsidR="00551F7F" w:rsidRPr="00016C3E">
              <w:rPr>
                <w:color w:val="000000"/>
                <w:sz w:val="20"/>
                <w:szCs w:val="20"/>
              </w:rPr>
              <w:t xml:space="preserve"> в соответствии с </w:t>
            </w:r>
            <w:r w:rsidR="00551F7F" w:rsidRPr="00016C3E">
              <w:rPr>
                <w:sz w:val="20"/>
                <w:szCs w:val="20"/>
              </w:rPr>
              <w:t xml:space="preserve">Правилами </w:t>
            </w:r>
            <w:r w:rsidR="00577FE1" w:rsidRPr="00577FE1">
              <w:rPr>
                <w:color w:val="000000"/>
                <w:sz w:val="20"/>
                <w:szCs w:val="20"/>
              </w:rPr>
              <w:t>клиринга на рынке ценных бумаг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 с недобросовестного Участника клиринга, в случае наличия у такого Участника клиринга неисполненного итогового нетто-обязательства по ценным бумагам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взымаемая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с недобросовестного Участника клиринга, в случае наличия у такого Участника клиринга </w:t>
            </w:r>
            <w:r w:rsidR="00577FE1" w:rsidRPr="00577FE1">
              <w:rPr>
                <w:color w:val="000000"/>
                <w:sz w:val="20"/>
                <w:szCs w:val="20"/>
              </w:rPr>
              <w:t>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ch_fine_long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</w:t>
            </w:r>
            <w:r w:rsidRPr="00016C3E">
              <w:rPr>
                <w:color w:val="000000"/>
                <w:sz w:val="20"/>
                <w:szCs w:val="20"/>
              </w:rPr>
              <w:lastRenderedPageBreak/>
              <w:t xml:space="preserve">рынке ценных бумаг </w:t>
            </w:r>
            <w:proofErr w:type="gramStart"/>
            <w:r w:rsidRPr="00016C3E">
              <w:rPr>
                <w:color w:val="000000"/>
                <w:sz w:val="20"/>
                <w:szCs w:val="20"/>
              </w:rPr>
              <w:t>добросовестному</w:t>
            </w:r>
            <w:proofErr w:type="gramEnd"/>
            <w:r w:rsidRPr="00016C3E">
              <w:rPr>
                <w:color w:val="000000"/>
                <w:sz w:val="20"/>
                <w:szCs w:val="20"/>
              </w:rPr>
              <w:t xml:space="preserve"> Участника клиринга, </w:t>
            </w:r>
            <w:r w:rsidR="001B4056" w:rsidRPr="00016C3E">
              <w:rPr>
                <w:sz w:val="20"/>
                <w:szCs w:val="20"/>
              </w:rPr>
              <w:t xml:space="preserve">в случае наличия у </w:t>
            </w:r>
            <w:r w:rsidR="00577FE1" w:rsidRPr="00577FE1">
              <w:rPr>
                <w:color w:val="000000"/>
                <w:sz w:val="20"/>
                <w:szCs w:val="20"/>
              </w:rPr>
              <w:t>КЦ неисполненного итогового нетто-обязательства по денежным средствам</w:t>
            </w:r>
            <w:r w:rsidR="001B4056"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lastRenderedPageBreak/>
              <w:t>ch_fine_short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</w:t>
            </w:r>
            <w:proofErr w:type="gramStart"/>
            <w:r w:rsidRPr="00016C3E">
              <w:rPr>
                <w:color w:val="000000"/>
                <w:sz w:val="20"/>
                <w:szCs w:val="20"/>
              </w:rPr>
              <w:t>добросовестному</w:t>
            </w:r>
            <w:proofErr w:type="gramEnd"/>
            <w:r w:rsidRPr="00016C3E">
              <w:rPr>
                <w:color w:val="000000"/>
                <w:sz w:val="20"/>
                <w:szCs w:val="20"/>
              </w:rPr>
              <w:t xml:space="preserve"> Участника клиринга, </w:t>
            </w:r>
            <w:r w:rsidRPr="00016C3E">
              <w:rPr>
                <w:sz w:val="20"/>
                <w:szCs w:val="20"/>
              </w:rPr>
              <w:t>в случае наличия у КЦ неисполненного итогового нетто-обязательства по ценным бумагам</w:t>
            </w:r>
            <w:r w:rsidRPr="00016C3E" w:rsidDel="001B40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sz w:val="20"/>
                <w:szCs w:val="20"/>
              </w:rPr>
              <w:t>ch_fine_borrow</w:t>
            </w:r>
            <w:proofErr w:type="spellEnd"/>
          </w:p>
        </w:tc>
        <w:tc>
          <w:tcPr>
            <w:tcW w:w="3934" w:type="dxa"/>
          </w:tcPr>
          <w:p w:rsidR="001B4056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</w:t>
            </w:r>
            <w:r w:rsidRPr="00016C3E">
              <w:rPr>
                <w:sz w:val="20"/>
                <w:szCs w:val="20"/>
              </w:rPr>
              <w:t xml:space="preserve">в </w:t>
            </w:r>
            <w:r w:rsidR="009F75FE">
              <w:rPr>
                <w:sz w:val="20"/>
                <w:szCs w:val="20"/>
              </w:rPr>
              <w:t xml:space="preserve">случае </w:t>
            </w:r>
            <w:r w:rsidRPr="00016C3E">
              <w:rPr>
                <w:sz w:val="20"/>
                <w:szCs w:val="20"/>
              </w:rPr>
              <w:t>заключения с данным Участником клиринга</w:t>
            </w:r>
          </w:p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Договора </w:t>
            </w:r>
            <w:proofErr w:type="spellStart"/>
            <w:r w:rsidRPr="00016C3E">
              <w:rPr>
                <w:sz w:val="20"/>
                <w:szCs w:val="20"/>
              </w:rPr>
              <w:t>репо</w:t>
            </w:r>
            <w:proofErr w:type="spellEnd"/>
            <w:r w:rsidRPr="00016C3E">
              <w:rPr>
                <w:sz w:val="20"/>
                <w:szCs w:val="20"/>
              </w:rPr>
              <w:t xml:space="preserve"> КЦ (двух Договоров купли-продажи с расчетами T+0, T+1)</w:t>
            </w:r>
            <w:r w:rsidRPr="00016C3E">
              <w:rPr>
                <w:color w:val="000000"/>
                <w:sz w:val="20"/>
                <w:szCs w:val="20"/>
              </w:rPr>
              <w:t xml:space="preserve"> в соответствии со статьей 25 </w:t>
            </w:r>
            <w:r w:rsidRPr="00016C3E">
              <w:rPr>
                <w:sz w:val="20"/>
                <w:szCs w:val="20"/>
              </w:rPr>
              <w:t xml:space="preserve">Правил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HairCut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94027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дисконта для соответствующего значения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ConcntrLimit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 xml:space="preserve">, используемого для определения стоимости имущества, принимаемого в индивидуальное </w:t>
            </w:r>
            <w:r w:rsidR="00AB138E">
              <w:rPr>
                <w:color w:val="000000"/>
                <w:sz w:val="20"/>
                <w:szCs w:val="20"/>
              </w:rPr>
              <w:t xml:space="preserve">и </w:t>
            </w:r>
            <w:proofErr w:type="spellStart"/>
            <w:r w:rsidR="00AB138E">
              <w:rPr>
                <w:color w:val="000000"/>
                <w:sz w:val="20"/>
                <w:szCs w:val="20"/>
              </w:rPr>
              <w:t>коллективное</w:t>
            </w:r>
            <w:r w:rsidRPr="00856046">
              <w:rPr>
                <w:color w:val="000000"/>
                <w:sz w:val="20"/>
                <w:szCs w:val="20"/>
              </w:rPr>
              <w:t>клиринговое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ConcntrLimit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максимального объема ценной бумаги, учитываемой в качестве Средств обеспечения, к которому применяется </w:t>
            </w:r>
            <w:proofErr w:type="gramStart"/>
            <w:r w:rsidRPr="00856046">
              <w:rPr>
                <w:color w:val="000000"/>
                <w:sz w:val="20"/>
                <w:szCs w:val="20"/>
              </w:rPr>
              <w:t>соответствующий</w:t>
            </w:r>
            <w:proofErr w:type="gramEnd"/>
            <w:r w:rsidRPr="00856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HairCut</w:t>
            </w:r>
            <w:proofErr w:type="spellEnd"/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010CDD" w:rsidRPr="00856046" w:rsidTr="001072C1">
        <w:trPr>
          <w:trHeight w:val="470"/>
        </w:trPr>
        <w:tc>
          <w:tcPr>
            <w:tcW w:w="0" w:type="auto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1C2D93">
              <w:rPr>
                <w:sz w:val="22"/>
                <w:szCs w:val="22"/>
                <w:lang w:val="en-US"/>
              </w:rPr>
              <w:t>Forfeit</w:t>
            </w:r>
            <w:r w:rsidRPr="001C2D93">
              <w:rPr>
                <w:sz w:val="22"/>
                <w:szCs w:val="22"/>
              </w:rPr>
              <w:t>_</w:t>
            </w:r>
            <w:r w:rsidRPr="001C2D93">
              <w:rPr>
                <w:sz w:val="22"/>
                <w:szCs w:val="22"/>
                <w:lang w:val="en-US"/>
              </w:rPr>
              <w:t>rate</w:t>
            </w:r>
          </w:p>
        </w:tc>
        <w:tc>
          <w:tcPr>
            <w:tcW w:w="3934" w:type="dxa"/>
          </w:tcPr>
          <w:p w:rsidR="00010CDD" w:rsidRPr="00856046" w:rsidRDefault="00010CDD" w:rsidP="00010CD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756AA">
              <w:rPr>
                <w:color w:val="000000"/>
                <w:sz w:val="20"/>
                <w:szCs w:val="20"/>
              </w:rPr>
              <w:t>Штрафная ставка, установленная КЦ для валюты неисполненных обязательств</w:t>
            </w:r>
            <w:r w:rsidR="00D5087A" w:rsidRPr="008756AA">
              <w:rPr>
                <w:color w:val="000000"/>
                <w:sz w:val="20"/>
                <w:szCs w:val="20"/>
              </w:rPr>
              <w:t xml:space="preserve"> в соответствии с пунктом 22.15 </w:t>
            </w:r>
            <w:r w:rsidRPr="008756AA">
              <w:rPr>
                <w:color w:val="000000"/>
                <w:sz w:val="20"/>
                <w:szCs w:val="20"/>
              </w:rPr>
              <w:t xml:space="preserve"> </w:t>
            </w:r>
            <w:r w:rsidR="00D5087A" w:rsidRPr="008756AA">
              <w:rPr>
                <w:color w:val="000000"/>
                <w:sz w:val="20"/>
                <w:szCs w:val="20"/>
              </w:rPr>
              <w:t xml:space="preserve">Правил </w:t>
            </w:r>
            <w:r w:rsidR="00D5087A"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9E2B0B" w:rsidRPr="00BF2ACA" w:rsidRDefault="009E2B0B" w:rsidP="009E2B0B">
      <w:pPr>
        <w:pStyle w:val="Point2"/>
        <w:rPr>
          <w:rFonts w:ascii="Times New Roman" w:hAnsi="Times New Roman" w:cs="Times New Roman"/>
        </w:rPr>
      </w:pPr>
      <w:r w:rsidRPr="003706A9">
        <w:rPr>
          <w:rFonts w:ascii="Times New Roman" w:hAnsi="Times New Roman" w:cs="Times New Roman"/>
        </w:rPr>
        <w:t>Параметры</w:t>
      </w:r>
      <w:r w:rsidR="00762CA1" w:rsidRPr="003706A9">
        <w:rPr>
          <w:rFonts w:ascii="Times New Roman" w:hAnsi="Times New Roman" w:cs="Times New Roman"/>
        </w:rPr>
        <w:t>,</w:t>
      </w:r>
      <w:r w:rsidRPr="00BF2ACA">
        <w:rPr>
          <w:rFonts w:ascii="Times New Roman" w:hAnsi="Times New Roman" w:cs="Times New Roman"/>
        </w:rPr>
        <w:t xml:space="preserve"> описанные в пункте </w:t>
      </w:r>
      <w:r w:rsidR="00BC5C31" w:rsidRPr="00BF2ACA">
        <w:rPr>
          <w:rFonts w:ascii="Times New Roman" w:hAnsi="Times New Roman" w:cs="Times New Roman"/>
        </w:rPr>
        <w:t>2.1</w:t>
      </w:r>
      <w:r w:rsidR="006C7E71">
        <w:rPr>
          <w:rFonts w:ascii="Times New Roman" w:hAnsi="Times New Roman" w:cs="Times New Roman"/>
        </w:rPr>
        <w:t xml:space="preserve"> настоящей Методики</w:t>
      </w:r>
      <w:r w:rsidR="00762CA1" w:rsidRPr="00BF2ACA">
        <w:rPr>
          <w:rFonts w:ascii="Times New Roman" w:hAnsi="Times New Roman" w:cs="Times New Roman"/>
        </w:rPr>
        <w:t>,</w:t>
      </w:r>
      <w:r w:rsidR="00BC5C31" w:rsidRPr="00BF2ACA">
        <w:rPr>
          <w:rFonts w:ascii="Times New Roman" w:hAnsi="Times New Roman" w:cs="Times New Roman"/>
        </w:rPr>
        <w:t xml:space="preserve"> устанавливаются решением </w:t>
      </w:r>
      <w:r w:rsidR="00765193" w:rsidRPr="00BF2ACA">
        <w:rPr>
          <w:rFonts w:ascii="Times New Roman" w:hAnsi="Times New Roman" w:cs="Times New Roman"/>
        </w:rPr>
        <w:t>КЦ</w:t>
      </w:r>
      <w:r w:rsidR="00BC5C31" w:rsidRPr="00BF2ACA">
        <w:rPr>
          <w:rFonts w:ascii="Times New Roman" w:hAnsi="Times New Roman" w:cs="Times New Roman"/>
        </w:rPr>
        <w:t xml:space="preserve"> </w:t>
      </w:r>
      <w:r w:rsidR="00222ACB" w:rsidRPr="00BF2ACA">
        <w:rPr>
          <w:rFonts w:ascii="Times New Roman" w:hAnsi="Times New Roman" w:cs="Times New Roman"/>
        </w:rPr>
        <w:t>и раскрываю</w:t>
      </w:r>
      <w:r w:rsidRPr="00BF2ACA">
        <w:rPr>
          <w:rFonts w:ascii="Times New Roman" w:hAnsi="Times New Roman" w:cs="Times New Roman"/>
        </w:rPr>
        <w:t xml:space="preserve">тся на Сайте </w:t>
      </w:r>
      <w:r w:rsidR="00765193" w:rsidRPr="00BF2ACA">
        <w:rPr>
          <w:rFonts w:ascii="Times New Roman" w:hAnsi="Times New Roman" w:cs="Times New Roman"/>
        </w:rPr>
        <w:t>КЦ</w:t>
      </w:r>
      <w:r w:rsidRPr="00BF2ACA">
        <w:rPr>
          <w:rFonts w:ascii="Times New Roman" w:hAnsi="Times New Roman" w:cs="Times New Roman"/>
        </w:rPr>
        <w:t xml:space="preserve">. </w:t>
      </w:r>
      <w:r w:rsidR="00222ACB" w:rsidRPr="00BF2ACA">
        <w:rPr>
          <w:rFonts w:ascii="Times New Roman" w:hAnsi="Times New Roman" w:cs="Times New Roman"/>
        </w:rPr>
        <w:t>Новые значения параметров вступаю</w:t>
      </w:r>
      <w:r w:rsidRPr="00BF2ACA">
        <w:rPr>
          <w:rFonts w:ascii="Times New Roman" w:hAnsi="Times New Roman" w:cs="Times New Roman"/>
        </w:rPr>
        <w:t xml:space="preserve">т в силу с начала ближайшего </w:t>
      </w:r>
      <w:r w:rsidR="001D31AD">
        <w:rPr>
          <w:rFonts w:ascii="Times New Roman" w:hAnsi="Times New Roman" w:cs="Times New Roman"/>
        </w:rPr>
        <w:t>Торгового дня</w:t>
      </w:r>
      <w:r w:rsidRPr="00BF2ACA">
        <w:rPr>
          <w:rFonts w:ascii="Times New Roman" w:hAnsi="Times New Roman" w:cs="Times New Roman"/>
        </w:rPr>
        <w:t>, следующего за моментом раскрытия.</w:t>
      </w:r>
    </w:p>
    <w:p w:rsidR="009E2B0B" w:rsidRPr="00016C3E" w:rsidRDefault="009707DC" w:rsidP="007D5AD6">
      <w:pPr>
        <w:pStyle w:val="Poin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Pr="00016C3E">
        <w:rPr>
          <w:rFonts w:ascii="Times New Roman" w:hAnsi="Times New Roman"/>
        </w:rPr>
        <w:t xml:space="preserve"> использованием параметров</w:t>
      </w:r>
      <w:r>
        <w:rPr>
          <w:rFonts w:ascii="Times New Roman" w:hAnsi="Times New Roman"/>
        </w:rPr>
        <w:t xml:space="preserve">, указанных в </w:t>
      </w:r>
      <w:r w:rsidRPr="00016C3E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2.1 настоящей Методики</w:t>
      </w:r>
      <w:r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рассчитываются следующие </w:t>
      </w:r>
      <w:proofErr w:type="spellStart"/>
      <w:r w:rsidR="00C86DD3" w:rsidRPr="00016C3E">
        <w:rPr>
          <w:rFonts w:ascii="Times New Roman" w:hAnsi="Times New Roman"/>
        </w:rPr>
        <w:t>риск-параметр</w:t>
      </w:r>
      <w:r>
        <w:rPr>
          <w:rFonts w:ascii="Times New Roman" w:hAnsi="Times New Roman"/>
        </w:rPr>
        <w:t>ы</w:t>
      </w:r>
      <w:proofErr w:type="spellEnd"/>
      <w:r w:rsidR="00C86DD3" w:rsidRPr="00016C3E">
        <w:rPr>
          <w:rFonts w:ascii="Times New Roman" w:hAnsi="Times New Roman"/>
        </w:rPr>
        <w:t>:</w:t>
      </w:r>
      <w:proofErr w:type="gramEnd"/>
    </w:p>
    <w:tbl>
      <w:tblPr>
        <w:tblStyle w:val="affff"/>
        <w:tblW w:w="9639" w:type="dxa"/>
        <w:tblInd w:w="250" w:type="dxa"/>
        <w:tblLook w:val="04A0"/>
      </w:tblPr>
      <w:tblGrid>
        <w:gridCol w:w="1638"/>
        <w:gridCol w:w="8001"/>
      </w:tblGrid>
      <w:tr w:rsidR="00936C30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7967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7967" w:type="dxa"/>
            <w:hideMark/>
          </w:tcPr>
          <w:p w:rsidR="00936C30" w:rsidRPr="00016C3E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Расчетная цена</w:t>
            </w:r>
            <w:r w:rsidR="00907A2F">
              <w:rPr>
                <w:color w:val="000000"/>
                <w:sz w:val="20"/>
                <w:szCs w:val="20"/>
              </w:rPr>
              <w:t xml:space="preserve">. Расчетная цена </w:t>
            </w:r>
            <w:r w:rsidR="003D7E42" w:rsidRPr="00016C3E">
              <w:rPr>
                <w:color w:val="000000"/>
                <w:sz w:val="20"/>
                <w:szCs w:val="20"/>
              </w:rPr>
              <w:t>ценной бумаги</w:t>
            </w:r>
            <w:r w:rsidR="00907A2F">
              <w:rPr>
                <w:color w:val="000000"/>
                <w:sz w:val="20"/>
                <w:szCs w:val="20"/>
              </w:rPr>
              <w:t xml:space="preserve"> определяется КЦ в соответствии с настоящей Методикой</w:t>
            </w:r>
            <w:r w:rsidR="005C6810">
              <w:rPr>
                <w:color w:val="000000"/>
                <w:sz w:val="20"/>
                <w:szCs w:val="20"/>
              </w:rPr>
              <w:t xml:space="preserve">; </w:t>
            </w:r>
            <w:r w:rsidR="00907A2F">
              <w:rPr>
                <w:color w:val="000000"/>
                <w:sz w:val="20"/>
                <w:szCs w:val="20"/>
              </w:rPr>
              <w:t>Расчетная цена договора, являющегося производным финансовым инструментом, определяется Организатором торговли в соответствии с внутренними документами Организатора торговли.</w:t>
            </w:r>
          </w:p>
        </w:tc>
      </w:tr>
      <w:tr w:rsidR="001B4056" w:rsidRPr="00016C3E" w:rsidTr="005E2056">
        <w:trPr>
          <w:trHeight w:val="240"/>
        </w:trPr>
        <w:tc>
          <w:tcPr>
            <w:tcW w:w="1672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7967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Цена Заявок</w:t>
            </w:r>
            <w:r w:rsidR="003A3DC7">
              <w:rPr>
                <w:color w:val="000000"/>
                <w:sz w:val="20"/>
                <w:szCs w:val="20"/>
              </w:rPr>
              <w:t xml:space="preserve">, </w:t>
            </w:r>
            <w:r w:rsidRPr="00016C3E">
              <w:rPr>
                <w:color w:val="000000"/>
                <w:sz w:val="20"/>
                <w:szCs w:val="20"/>
              </w:rPr>
              <w:t>формируемых КЦ в соответствии с пунктом 27.5 Правил клиринга на рынке ценных бумаг (далее – Цена заявок)</w:t>
            </w:r>
          </w:p>
        </w:tc>
      </w:tr>
      <w:tr w:rsidR="005E2056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color w:val="000000"/>
                <w:sz w:val="20"/>
                <w:szCs w:val="20"/>
                <w:lang w:val="en-US"/>
              </w:rPr>
              <w:t>FXRate</w:t>
            </w:r>
            <w:proofErr w:type="spellEnd"/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Курс иностранной валюты</w:t>
            </w:r>
          </w:p>
        </w:tc>
      </w:tr>
      <w:tr w:rsidR="005E2056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Радиус оценки рисков по ценной бумаге/ договору, являющемуся производным финансовым инструментом/иностранной валюте (далее -  Радиус)</w:t>
            </w:r>
          </w:p>
        </w:tc>
      </w:tr>
      <w:tr w:rsidR="00F348AC" w:rsidRPr="00016C3E" w:rsidTr="005E2056">
        <w:trPr>
          <w:trHeight w:val="240"/>
        </w:trPr>
        <w:tc>
          <w:tcPr>
            <w:tcW w:w="1672" w:type="dxa"/>
          </w:tcPr>
          <w:p w:rsidR="00F348AC" w:rsidRPr="00016C3E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Верхний лимит перерасчета Радиуса</w:t>
            </w:r>
          </w:p>
        </w:tc>
      </w:tr>
      <w:tr w:rsidR="00F348AC" w:rsidRPr="00016C3E" w:rsidTr="005E2056">
        <w:trPr>
          <w:trHeight w:val="240"/>
        </w:trPr>
        <w:tc>
          <w:tcPr>
            <w:tcW w:w="1672" w:type="dxa"/>
          </w:tcPr>
          <w:p w:rsidR="00F348AC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Нижний лимит перерасчета Радиуса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>Лимит колебани</w:t>
            </w:r>
            <w:r w:rsidR="007A026E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7A026E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7A026E" w:rsidRPr="007D4137">
              <w:rPr>
                <w:color w:val="000000"/>
                <w:sz w:val="20"/>
                <w:szCs w:val="20"/>
              </w:rPr>
              <w:t xml:space="preserve">ценной бумаги/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4D6023">
              <w:rPr>
                <w:color w:val="000000"/>
                <w:sz w:val="20"/>
                <w:szCs w:val="20"/>
              </w:rPr>
              <w:t xml:space="preserve"> -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  <w:r w:rsidR="005E2056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UL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Верхний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2F1D77" w:rsidRPr="007D4137">
              <w:rPr>
                <w:color w:val="000000"/>
                <w:sz w:val="20"/>
                <w:szCs w:val="20"/>
              </w:rPr>
              <w:t>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Верхний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936C30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LL</w:t>
            </w:r>
          </w:p>
        </w:tc>
        <w:tc>
          <w:tcPr>
            <w:tcW w:w="7967" w:type="dxa"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Нижний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 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/ </w:t>
            </w:r>
            <w:r w:rsidR="00577FE1" w:rsidRPr="00577FE1">
              <w:rPr>
                <w:color w:val="000000"/>
                <w:sz w:val="20"/>
                <w:szCs w:val="20"/>
              </w:rPr>
              <w:t>договора, являющегося производным финансовым инструментом</w:t>
            </w:r>
            <w:r w:rsidR="007D4137" w:rsidRPr="007D4137">
              <w:rPr>
                <w:color w:val="000000"/>
                <w:sz w:val="20"/>
                <w:szCs w:val="20"/>
              </w:rPr>
              <w:t xml:space="preserve">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Нижний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5E2056" w:rsidRPr="00856046" w:rsidTr="005E2056">
        <w:trPr>
          <w:trHeight w:val="240"/>
        </w:trPr>
        <w:tc>
          <w:tcPr>
            <w:tcW w:w="0" w:type="auto"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bookmarkStart w:id="2" w:name="_Toc360073007"/>
            <w:bookmarkStart w:id="3" w:name="_Toc360073008"/>
            <w:bookmarkStart w:id="4" w:name="_Toc360073009"/>
            <w:bookmarkStart w:id="5" w:name="_Toc360073010"/>
            <w:bookmarkStart w:id="6" w:name="_Toc360073011"/>
            <w:bookmarkStart w:id="7" w:name="_Toc360073012"/>
            <w:bookmarkEnd w:id="2"/>
            <w:bookmarkEnd w:id="3"/>
            <w:bookmarkEnd w:id="4"/>
            <w:bookmarkEnd w:id="5"/>
            <w:bookmarkEnd w:id="6"/>
            <w:bookmarkEnd w:id="7"/>
            <w:proofErr w:type="spellStart"/>
            <w:r w:rsidRPr="00856046">
              <w:rPr>
                <w:color w:val="000000"/>
                <w:sz w:val="20"/>
                <w:szCs w:val="20"/>
              </w:rPr>
              <w:t>ColatValue</w:t>
            </w:r>
            <w:proofErr w:type="spellEnd"/>
          </w:p>
        </w:tc>
        <w:tc>
          <w:tcPr>
            <w:tcW w:w="0" w:type="auto"/>
          </w:tcPr>
          <w:p w:rsidR="005E2056" w:rsidRPr="00856046" w:rsidRDefault="005E2056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Стоимость имущества, принимаемого в индивидуальное </w:t>
            </w:r>
            <w:r w:rsidR="00AB138E">
              <w:rPr>
                <w:color w:val="000000"/>
                <w:sz w:val="20"/>
                <w:szCs w:val="20"/>
              </w:rPr>
              <w:t>и коллективное</w:t>
            </w:r>
            <w:r w:rsidR="00B5031C">
              <w:rPr>
                <w:color w:val="000000"/>
                <w:sz w:val="20"/>
                <w:szCs w:val="20"/>
              </w:rPr>
              <w:t xml:space="preserve">  </w:t>
            </w:r>
            <w:r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</w:p>
        </w:tc>
      </w:tr>
    </w:tbl>
    <w:p w:rsidR="008756AA" w:rsidRDefault="008756AA" w:rsidP="008756AA">
      <w:pPr>
        <w:pStyle w:val="Title3"/>
        <w:numPr>
          <w:ilvl w:val="0"/>
          <w:numId w:val="0"/>
        </w:numPr>
        <w:ind w:left="505"/>
        <w:rPr>
          <w:rFonts w:ascii="Times New Roman" w:hAnsi="Times New Roman"/>
        </w:rPr>
      </w:pPr>
      <w:bookmarkStart w:id="8" w:name="_Toc407360445"/>
    </w:p>
    <w:p w:rsidR="00E047AE" w:rsidRPr="00016C3E" w:rsidRDefault="0027099E" w:rsidP="00E047AE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</w:rPr>
        <w:lastRenderedPageBreak/>
        <w:t>Порядок определения Расчетной цены</w:t>
      </w:r>
      <w:r w:rsidR="00F348AC" w:rsidRPr="00016C3E">
        <w:rPr>
          <w:rFonts w:ascii="Times New Roman" w:hAnsi="Times New Roman"/>
        </w:rPr>
        <w:t xml:space="preserve"> ценной бумаги</w:t>
      </w:r>
      <w:bookmarkEnd w:id="8"/>
    </w:p>
    <w:p w:rsidR="000E284C" w:rsidRDefault="00281B7F" w:rsidP="0041742E">
      <w:pPr>
        <w:pStyle w:val="Point"/>
        <w:rPr>
          <w:rFonts w:ascii="Times New Roman" w:hAnsi="Times New Roman"/>
        </w:rPr>
      </w:pPr>
      <w:bookmarkStart w:id="9" w:name="_Ref108582963"/>
      <w:bookmarkStart w:id="10" w:name="_Toc133995526"/>
      <w:r w:rsidRPr="00016C3E">
        <w:rPr>
          <w:rFonts w:ascii="Times New Roman" w:hAnsi="Times New Roman"/>
        </w:rPr>
        <w:t>Расчётная</w:t>
      </w:r>
      <w:r w:rsidR="0041742E" w:rsidRPr="00016C3E">
        <w:rPr>
          <w:rFonts w:ascii="Times New Roman" w:hAnsi="Times New Roman"/>
        </w:rPr>
        <w:t xml:space="preserve"> цена </w:t>
      </w:r>
      <w:r w:rsidR="00695D49">
        <w:rPr>
          <w:rFonts w:ascii="Times New Roman" w:hAnsi="Times New Roman"/>
        </w:rPr>
        <w:t xml:space="preserve">ценной бумаги </w:t>
      </w:r>
      <w:r w:rsidR="000E284C">
        <w:rPr>
          <w:rFonts w:ascii="Times New Roman" w:hAnsi="Times New Roman"/>
        </w:rPr>
        <w:t xml:space="preserve">определяется на основании безадресных Заявок, </w:t>
      </w:r>
      <w:r w:rsidR="00940A73">
        <w:rPr>
          <w:rFonts w:ascii="Times New Roman" w:hAnsi="Times New Roman"/>
        </w:rPr>
        <w:t xml:space="preserve">находящихся в Очереди заявок, </w:t>
      </w:r>
      <w:r w:rsidR="000E284C">
        <w:rPr>
          <w:rFonts w:ascii="Times New Roman" w:hAnsi="Times New Roman"/>
        </w:rPr>
        <w:t xml:space="preserve">и Договоров, </w:t>
      </w:r>
      <w:r>
        <w:rPr>
          <w:rFonts w:ascii="Times New Roman" w:hAnsi="Times New Roman"/>
        </w:rPr>
        <w:t>заключённых</w:t>
      </w:r>
      <w:r w:rsidR="000E284C">
        <w:rPr>
          <w:rFonts w:ascii="Times New Roman" w:hAnsi="Times New Roman"/>
        </w:rPr>
        <w:t xml:space="preserve"> на основании указанных Заявок. </w:t>
      </w:r>
      <w:r w:rsidR="00BF27C1">
        <w:rPr>
          <w:rFonts w:ascii="Times New Roman" w:hAnsi="Times New Roman"/>
        </w:rPr>
        <w:t>Расчётная цена определяется по окончании текущего Торгового дня расчета.</w:t>
      </w:r>
      <w:r w:rsidR="000B5EA9">
        <w:rPr>
          <w:rFonts w:ascii="Times New Roman" w:hAnsi="Times New Roman"/>
        </w:rPr>
        <w:t xml:space="preserve"> Для расчета Расчетной цены не используются Скрытые </w:t>
      </w:r>
      <w:r w:rsidR="00695D49">
        <w:rPr>
          <w:rFonts w:ascii="Times New Roman" w:hAnsi="Times New Roman"/>
        </w:rPr>
        <w:t xml:space="preserve">Заявки и Скрытые Заявки с динамической ценой. </w:t>
      </w:r>
    </w:p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первый Торговый день</w:t>
      </w:r>
      <w:r w:rsidR="002E100D">
        <w:rPr>
          <w:rFonts w:ascii="Times New Roman" w:hAnsi="Times New Roman"/>
        </w:rPr>
        <w:t xml:space="preserve"> обращения</w:t>
      </w:r>
      <w:r w:rsidRPr="00016C3E">
        <w:rPr>
          <w:rFonts w:ascii="Times New Roman" w:hAnsi="Times New Roman"/>
        </w:rPr>
        <w:t xml:space="preserve"> ценной бумаги Расчетная цена</w:t>
      </w:r>
      <w:r w:rsidR="006F7A4D" w:rsidRPr="00016C3E">
        <w:rPr>
          <w:rFonts w:ascii="Times New Roman" w:hAnsi="Times New Roman"/>
        </w:rPr>
        <w:t xml:space="preserve"> </w:t>
      </w:r>
      <w:r w:rsidR="002E100D">
        <w:rPr>
          <w:rFonts w:ascii="Times New Roman" w:hAnsi="Times New Roman"/>
        </w:rPr>
        <w:t xml:space="preserve">указанной ценной бумаги </w:t>
      </w:r>
      <w:r w:rsidR="006F7A4D" w:rsidRPr="00016C3E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016C3E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устанавливается решением </w:t>
      </w:r>
      <w:r w:rsidR="00072AD8" w:rsidRPr="00016C3E">
        <w:rPr>
          <w:rFonts w:ascii="Times New Roman" w:hAnsi="Times New Roman"/>
        </w:rPr>
        <w:t>КЦ</w:t>
      </w:r>
      <w:r w:rsidRPr="00016C3E">
        <w:rPr>
          <w:rFonts w:ascii="Times New Roman" w:hAnsi="Times New Roman"/>
        </w:rPr>
        <w:t>.</w:t>
      </w:r>
    </w:p>
    <w:p w:rsidR="00936C30" w:rsidRPr="00016C3E" w:rsidRDefault="002E100D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настоящей статьи Методики </w:t>
      </w:r>
      <w:r w:rsidR="00936C30" w:rsidRPr="00016C3E">
        <w:rPr>
          <w:rFonts w:ascii="Times New Roman" w:hAnsi="Times New Roman"/>
        </w:rPr>
        <w:t>используются следующие обозначения:</w:t>
      </w:r>
    </w:p>
    <w:tbl>
      <w:tblPr>
        <w:tblStyle w:val="affff"/>
        <w:tblW w:w="9639" w:type="dxa"/>
        <w:tblInd w:w="250" w:type="dxa"/>
        <w:tblLook w:val="04A0"/>
      </w:tblPr>
      <w:tblGrid>
        <w:gridCol w:w="1388"/>
        <w:gridCol w:w="8251"/>
      </w:tblGrid>
      <w:tr w:rsidR="006F7A4D" w:rsidRPr="00016C3E" w:rsidTr="00BD5487">
        <w:trPr>
          <w:trHeight w:val="240"/>
        </w:trPr>
        <w:tc>
          <w:tcPr>
            <w:tcW w:w="1388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8251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B7303B" w:rsidRDefault="00577FE1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lastdeal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3706A9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последне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 w:rsidRPr="00016C3E">
              <w:rPr>
                <w:sz w:val="20"/>
                <w:szCs w:val="20"/>
              </w:rPr>
              <w:t>Договора</w:t>
            </w:r>
            <w:r w:rsidR="003706A9">
              <w:rPr>
                <w:sz w:val="20"/>
                <w:szCs w:val="20"/>
              </w:rPr>
              <w:t xml:space="preserve">, </w:t>
            </w:r>
            <w:r w:rsidRPr="00016C3E">
              <w:rPr>
                <w:sz w:val="20"/>
                <w:szCs w:val="20"/>
              </w:rPr>
              <w:t>заключенно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в течение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proofErr w:type="spellStart"/>
            <w:r w:rsidR="00577FE1" w:rsidRPr="00577FE1">
              <w:rPr>
                <w:sz w:val="20"/>
                <w:szCs w:val="20"/>
              </w:rPr>
              <w:t>t</w:t>
            </w:r>
            <w:proofErr w:type="spellEnd"/>
            <w:r w:rsidR="00577FE1" w:rsidRPr="00577FE1">
              <w:rPr>
                <w:sz w:val="20"/>
                <w:szCs w:val="20"/>
              </w:rPr>
              <w:t xml:space="preserve"> 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016C3E" w:rsidRDefault="00577FE1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bestbuy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лучшей</w:t>
            </w:r>
            <w:r w:rsidR="004C49CA">
              <w:rPr>
                <w:sz w:val="20"/>
                <w:szCs w:val="20"/>
              </w:rPr>
              <w:t xml:space="preserve"> объявленной</w:t>
            </w:r>
            <w:r w:rsidRPr="00016C3E">
              <w:rPr>
                <w:sz w:val="20"/>
                <w:szCs w:val="20"/>
              </w:rPr>
              <w:t xml:space="preserve">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покупку на момент окончания </w:t>
            </w:r>
            <w:r w:rsidR="003706A9">
              <w:rPr>
                <w:sz w:val="20"/>
                <w:szCs w:val="20"/>
              </w:rPr>
              <w:t>Торгового дня</w:t>
            </w:r>
            <w:r w:rsidR="00B042A8" w:rsidRPr="00016C3E">
              <w:rPr>
                <w:sz w:val="20"/>
                <w:szCs w:val="20"/>
              </w:rPr>
              <w:t xml:space="preserve"> </w:t>
            </w:r>
            <w:proofErr w:type="spellStart"/>
            <w:r w:rsidR="00B042A8" w:rsidRPr="00016C3E">
              <w:rPr>
                <w:sz w:val="20"/>
                <w:szCs w:val="20"/>
              </w:rPr>
              <w:t>t</w:t>
            </w:r>
            <w:proofErr w:type="spellEnd"/>
          </w:p>
        </w:tc>
      </w:tr>
      <w:tr w:rsidR="006F7A4D" w:rsidRPr="00016C3E" w:rsidTr="00BD5487">
        <w:trPr>
          <w:trHeight w:val="240"/>
        </w:trPr>
        <w:tc>
          <w:tcPr>
            <w:tcW w:w="1388" w:type="dxa"/>
            <w:hideMark/>
          </w:tcPr>
          <w:p w:rsidR="006F7A4D" w:rsidRPr="00016C3E" w:rsidRDefault="00577FE1" w:rsidP="008D619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bestsell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цена лучшей </w:t>
            </w:r>
            <w:r w:rsidR="00693397">
              <w:rPr>
                <w:sz w:val="20"/>
                <w:szCs w:val="20"/>
              </w:rPr>
              <w:t xml:space="preserve">объявленной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продажу на момент окончания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proofErr w:type="spellStart"/>
            <w:r w:rsidR="00B042A8" w:rsidRPr="00016C3E">
              <w:rPr>
                <w:sz w:val="20"/>
                <w:szCs w:val="20"/>
              </w:rPr>
              <w:t>t</w:t>
            </w:r>
            <w:proofErr w:type="spellEnd"/>
          </w:p>
        </w:tc>
      </w:tr>
    </w:tbl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Определение Расчетной цены </w:t>
      </w:r>
      <w:r w:rsidR="003706A9">
        <w:rPr>
          <w:rFonts w:ascii="Times New Roman" w:hAnsi="Times New Roman"/>
        </w:rPr>
        <w:t>осуществляется следующим образом:</w:t>
      </w:r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Расчетная цена </w:t>
      </w:r>
      <w:r w:rsidR="00D03618" w:rsidRPr="00016C3E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016C3E" w:rsidRDefault="00D03618" w:rsidP="00B63B57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</w:t>
      </w:r>
      <w:r w:rsidR="0041742E" w:rsidRPr="00016C3E">
        <w:rPr>
          <w:rFonts w:ascii="Times New Roman" w:hAnsi="Times New Roman" w:cs="Times New Roman"/>
        </w:rPr>
        <w:t xml:space="preserve">на момент окончания </w:t>
      </w:r>
      <w:r w:rsidR="0057268E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="003B1A76" w:rsidRPr="00016C3E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присутствуют</w:t>
      </w:r>
      <w:r w:rsidR="00693397">
        <w:rPr>
          <w:rFonts w:ascii="Times New Roman" w:hAnsi="Times New Roman" w:cs="Times New Roman"/>
        </w:rPr>
        <w:t xml:space="preserve"> объявленные</w:t>
      </w:r>
      <w:r w:rsidR="00A8574F">
        <w:rPr>
          <w:rFonts w:ascii="Times New Roman" w:hAnsi="Times New Roman" w:cs="Times New Roman"/>
        </w:rPr>
        <w:t xml:space="preserve"> З</w:t>
      </w:r>
      <w:r w:rsidRPr="00016C3E">
        <w:rPr>
          <w:rFonts w:ascii="Times New Roman" w:hAnsi="Times New Roman" w:cs="Times New Roman"/>
        </w:rPr>
        <w:t>аявки</w:t>
      </w:r>
      <w:r w:rsidR="00A8574F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на покупку</w:t>
      </w:r>
      <w:r w:rsidR="00A8574F">
        <w:rPr>
          <w:rFonts w:ascii="Times New Roman" w:hAnsi="Times New Roman" w:cs="Times New Roman"/>
        </w:rPr>
        <w:t xml:space="preserve"> и Заявки на </w:t>
      </w:r>
      <w:r w:rsidR="009D0063" w:rsidRPr="00016C3E">
        <w:rPr>
          <w:rFonts w:ascii="Times New Roman" w:hAnsi="Times New Roman" w:cs="Times New Roman"/>
        </w:rPr>
        <w:t xml:space="preserve">продажу, </w:t>
      </w:r>
      <w:r w:rsidR="003B1A76" w:rsidRPr="00016C3E">
        <w:rPr>
          <w:rFonts w:ascii="Times New Roman" w:hAnsi="Times New Roman" w:cs="Times New Roman"/>
        </w:rPr>
        <w:t>то</w:t>
      </w:r>
      <w:r w:rsidR="00CB4B8A">
        <w:rPr>
          <w:rFonts w:ascii="Times New Roman" w:hAnsi="Times New Roman" w:cs="Times New Roman"/>
        </w:rPr>
        <w:t>:</w:t>
      </w:r>
    </w:p>
    <w:p w:rsidR="0096442C" w:rsidRPr="00B7303B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только</w:t>
      </w:r>
      <w:r w:rsidR="00A8574F">
        <w:rPr>
          <w:rFonts w:ascii="Times New Roman" w:hAnsi="Times New Roman" w:cs="Times New Roman"/>
        </w:rPr>
        <w:t xml:space="preserve"> объявленные З</w:t>
      </w:r>
      <w:r w:rsidRPr="00016C3E">
        <w:rPr>
          <w:rFonts w:ascii="Times New Roman" w:hAnsi="Times New Roman" w:cs="Times New Roman"/>
        </w:rPr>
        <w:t>аявки на п</w:t>
      </w:r>
      <w:r w:rsidR="003B1A76" w:rsidRPr="00016C3E">
        <w:rPr>
          <w:rFonts w:ascii="Times New Roman" w:hAnsi="Times New Roman" w:cs="Times New Roman"/>
        </w:rPr>
        <w:t>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</w:t>
      </w:r>
      <w:r w:rsidR="003B1A76" w:rsidRPr="00016C3E">
        <w:rPr>
          <w:rFonts w:ascii="Times New Roman" w:hAnsi="Times New Roman" w:cs="Times New Roman"/>
        </w:rPr>
        <w:t xml:space="preserve">только </w:t>
      </w:r>
      <w:r w:rsidR="002B5CDD">
        <w:rPr>
          <w:rFonts w:ascii="Times New Roman" w:hAnsi="Times New Roman" w:cs="Times New Roman"/>
        </w:rPr>
        <w:t>объявленные З</w:t>
      </w:r>
      <w:r w:rsidR="003B1A76" w:rsidRPr="00016C3E">
        <w:rPr>
          <w:rFonts w:ascii="Times New Roman" w:hAnsi="Times New Roman" w:cs="Times New Roman"/>
        </w:rPr>
        <w:t xml:space="preserve">аявки на </w:t>
      </w:r>
      <w:r w:rsidRPr="00016C3E">
        <w:rPr>
          <w:rFonts w:ascii="Times New Roman" w:hAnsi="Times New Roman" w:cs="Times New Roman"/>
        </w:rPr>
        <w:t>продажу</w:t>
      </w:r>
      <w:r w:rsidR="003B1A76" w:rsidRPr="00016C3E">
        <w:rPr>
          <w:rFonts w:ascii="Times New Roman" w:hAnsi="Times New Roman" w:cs="Times New Roman"/>
        </w:rPr>
        <w:t>, то</w:t>
      </w:r>
      <w:r w:rsidR="00CB4B8A">
        <w:rPr>
          <w:rFonts w:ascii="Times New Roman" w:hAnsi="Times New Roman" w:cs="Times New Roman"/>
        </w:rPr>
        <w:t>:</w:t>
      </w:r>
    </w:p>
    <w:p w:rsidR="0096442C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не 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>, Расчетная цена определяется на основании цен</w:t>
      </w:r>
      <w:r w:rsidR="00CB4B8A">
        <w:rPr>
          <w:rFonts w:ascii="Times New Roman" w:hAnsi="Times New Roman" w:cs="Times New Roman"/>
        </w:rPr>
        <w:t xml:space="preserve"> объявленных З</w:t>
      </w:r>
      <w:r w:rsidRPr="00016C3E">
        <w:rPr>
          <w:rFonts w:ascii="Times New Roman" w:hAnsi="Times New Roman" w:cs="Times New Roman"/>
        </w:rPr>
        <w:t>аявок в следующем порядке:</w:t>
      </w:r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CB4B8A">
        <w:rPr>
          <w:rFonts w:ascii="Times New Roman" w:hAnsi="Times New Roman" w:cs="Times New Roman"/>
        </w:rPr>
        <w:t xml:space="preserve"> присутствуют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</w:t>
      </w:r>
      <w:r w:rsidR="00CB4B8A">
        <w:rPr>
          <w:rFonts w:ascii="Times New Roman" w:hAnsi="Times New Roman" w:cs="Times New Roman"/>
        </w:rPr>
        <w:t xml:space="preserve"> </w:t>
      </w:r>
      <w:r w:rsidR="00CB4B8A" w:rsidRPr="00016C3E">
        <w:rPr>
          <w:rFonts w:ascii="Times New Roman" w:hAnsi="Times New Roman" w:cs="Times New Roman"/>
        </w:rPr>
        <w:t>на покупку</w:t>
      </w:r>
      <w:r w:rsidR="00CB4B8A">
        <w:rPr>
          <w:rFonts w:ascii="Times New Roman" w:hAnsi="Times New Roman" w:cs="Times New Roman"/>
        </w:rPr>
        <w:t xml:space="preserve"> и Заявки на </w:t>
      </w:r>
      <w:r w:rsidR="00CB4B8A" w:rsidRPr="00016C3E">
        <w:rPr>
          <w:rFonts w:ascii="Times New Roman" w:hAnsi="Times New Roman" w:cs="Times New Roman"/>
        </w:rPr>
        <w:t>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B7303B" w:rsidRDefault="009D0063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SP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CB4B8A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CB4B8A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proofErr w:type="gramStart"/>
      <w:r w:rsidRPr="00016C3E">
        <w:rPr>
          <w:rFonts w:ascii="Times New Roman" w:hAnsi="Times New Roman" w:cs="Times New Roman"/>
        </w:rPr>
        <w:t xml:space="preserve">В остальных случаях, кроме предусмотренных пунктами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>4.1.</w:t>
      </w:r>
      <w:r w:rsidR="00883419">
        <w:rPr>
          <w:rFonts w:ascii="Times New Roman" w:hAnsi="Times New Roman" w:cs="Times New Roman"/>
        </w:rPr>
        <w:t xml:space="preserve"> и</w:t>
      </w:r>
      <w:r w:rsidRPr="00016C3E">
        <w:rPr>
          <w:rFonts w:ascii="Times New Roman" w:hAnsi="Times New Roman" w:cs="Times New Roman"/>
        </w:rPr>
        <w:t xml:space="preserve">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 xml:space="preserve">4.2. </w:t>
      </w:r>
      <w:r w:rsidR="003B1A76" w:rsidRPr="00016C3E">
        <w:rPr>
          <w:rFonts w:ascii="Times New Roman" w:hAnsi="Times New Roman" w:cs="Times New Roman"/>
        </w:rPr>
        <w:t>настоящей Методики,</w:t>
      </w:r>
      <w:r w:rsidRPr="00016C3E">
        <w:rPr>
          <w:rFonts w:ascii="Times New Roman" w:hAnsi="Times New Roman" w:cs="Times New Roman"/>
        </w:rPr>
        <w:t xml:space="preserve"> Расчетная цена принимается равной Расчетной цене, определенной по окончании предыдущего Торгового дня.</w:t>
      </w:r>
      <w:proofErr w:type="gramEnd"/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Значение Расчетной цены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</w:p>
    <w:p w:rsidR="00825FF6" w:rsidRPr="00023803" w:rsidRDefault="00825FF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11" w:name="_Toc387933852"/>
        <w:bookmarkStart w:id="12" w:name="_Toc387934059"/>
        <w:bookmarkStart w:id="13" w:name="_Toc388002389"/>
        <m:r>
          <m:rPr>
            <m:sty m:val="p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min 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</m:e>
        </m:func>
        <m:r>
          <m:rPr>
            <m:sty m:val="p"/>
          </m:rPr>
          <w:rPr>
            <w:rFonts w:ascii="Cambria Math" w:hAnsi="Cambria Math"/>
          </w:rPr>
          <m:t>max⁡(S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23803">
        <w:rPr>
          <w:rFonts w:ascii="Cambria Math" w:hAnsi="Cambria Math"/>
        </w:rPr>
        <w:t>,</w:t>
      </w:r>
      <w:bookmarkEnd w:id="11"/>
      <w:bookmarkEnd w:id="12"/>
      <w:bookmarkEnd w:id="13"/>
    </w:p>
    <w:p w:rsidR="00825FF6" w:rsidRPr="00023803" w:rsidRDefault="00240013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14" w:name="_Toc387933853"/>
        <w:bookmarkStart w:id="15" w:name="_Toc387934060"/>
        <w:bookmarkStart w:id="16" w:name="_Toc388002390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825FF6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14"/>
      <w:bookmarkEnd w:id="15"/>
      <w:bookmarkEnd w:id="16"/>
    </w:p>
    <w:p w:rsidR="00825FF6" w:rsidRDefault="00825FF6" w:rsidP="00023803">
      <w:pPr>
        <w:pStyle w:val="Point"/>
        <w:rPr>
          <w:rFonts w:ascii="Times New Roman" w:hAnsi="Times New Roman"/>
        </w:rPr>
      </w:pPr>
      <w:r w:rsidRPr="00023803">
        <w:rPr>
          <w:rFonts w:ascii="Times New Roman" w:hAnsi="Times New Roman"/>
        </w:rPr>
        <w:t>КЦ вправе принять решение об установлении Расчетной цены, отличной от значения, рассчитанного в соответствии с настоящей статьёй Методики, на основании экспертной оценки.</w:t>
      </w:r>
    </w:p>
    <w:p w:rsidR="00B5031C" w:rsidRPr="00023803" w:rsidRDefault="00B5031C" w:rsidP="00023803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Pr="00D7179C">
        <w:rPr>
          <w:rFonts w:ascii="Times New Roman" w:hAnsi="Times New Roman"/>
        </w:rPr>
        <w:t>была осуществлена процедура дробления и (или) консолидации</w:t>
      </w:r>
      <w:r>
        <w:rPr>
          <w:rFonts w:ascii="Times New Roman" w:hAnsi="Times New Roman"/>
        </w:rPr>
        <w:t>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17" w:name="_Toc387933854"/>
      <w:bookmarkStart w:id="18" w:name="_Toc387934061"/>
      <w:bookmarkStart w:id="19" w:name="_Toc407360446"/>
      <w:r w:rsidRPr="00856046">
        <w:rPr>
          <w:rFonts w:ascii="Times New Roman" w:hAnsi="Times New Roman"/>
        </w:rPr>
        <w:lastRenderedPageBreak/>
        <w:t>Порядок определения Цены заявок</w:t>
      </w:r>
      <w:bookmarkEnd w:id="17"/>
      <w:bookmarkEnd w:id="18"/>
      <w:bookmarkEnd w:id="1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Определение Цены заявок осуществляется на основании цен, указанных в Договорах, заключённых в отношении ценных бумаг, в период с момента начала текущего Торгового дня до момента определения Цены заявок.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Cambria Math" w:hAnsi="Cambria Math"/>
        </w:rPr>
      </w:pPr>
      <m:oMathPara>
        <m:oMath>
          <w:bookmarkStart w:id="20" w:name="_Toc387933855"/>
          <w:bookmarkStart w:id="21" w:name="_Toc387934062"/>
          <w:bookmarkStart w:id="22" w:name="_Toc387228137"/>
          <w:bookmarkStart w:id="23" w:name="_Toc388002392"/>
          <m:r>
            <m:rPr>
              <m:sty m:val="p"/>
            </m:rPr>
            <w:rPr>
              <w:rFonts w:ascii="Cambria Math" w:hAnsi="Cambria Math"/>
            </w:rPr>
            <m:t>DP=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</m:oMath>
      </m:oMathPara>
      <w:bookmarkEnd w:id="20"/>
      <w:bookmarkEnd w:id="21"/>
      <w:bookmarkEnd w:id="22"/>
      <w:bookmarkEnd w:id="2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24" w:name="_Toc387933856"/>
      <w:bookmarkStart w:id="25" w:name="_Toc387934063"/>
      <w:bookmarkStart w:id="26" w:name="_Toc388002393"/>
      <w:r w:rsidRPr="00023803">
        <w:rPr>
          <w:rFonts w:ascii="Times New Roman" w:hAnsi="Times New Roman" w:cs="Times New Roman"/>
        </w:rPr>
        <w:t>где:</w:t>
      </w:r>
      <w:bookmarkEnd w:id="24"/>
      <w:bookmarkEnd w:id="25"/>
      <w:bookmarkEnd w:id="26"/>
    </w:p>
    <w:p w:rsidR="00E23475" w:rsidRPr="00023803" w:rsidRDefault="00240013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27" w:name="_Toc387933857"/>
        <w:bookmarkStart w:id="28" w:name="_Toc387934064"/>
        <w:bookmarkStart w:id="29" w:name="_Toc388002394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27"/>
      <w:bookmarkEnd w:id="28"/>
      <w:bookmarkEnd w:id="2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не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w:bookmarkStart w:id="30" w:name="_Toc387933858"/>
          <w:bookmarkStart w:id="31" w:name="_Toc387934065"/>
          <w:bookmarkStart w:id="32" w:name="_Toc387228138"/>
          <w:bookmarkStart w:id="33" w:name="_Toc388002395"/>
          <m:r>
            <m:rPr>
              <m:sty m:val="p"/>
            </m:rPr>
            <w:rPr>
              <w:rFonts w:ascii="Cambria Math" w:hAnsi="Cambria Math"/>
            </w:rPr>
            <m:t>DP=S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  <w:bookmarkEnd w:id="30"/>
      <w:bookmarkEnd w:id="31"/>
      <w:bookmarkEnd w:id="32"/>
      <w:bookmarkEnd w:id="3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34" w:name="_Toc387933859"/>
      <w:bookmarkStart w:id="35" w:name="_Toc387934066"/>
      <w:bookmarkStart w:id="36" w:name="_Toc388002396"/>
      <w:r w:rsidRPr="00023803">
        <w:rPr>
          <w:rFonts w:ascii="Times New Roman" w:hAnsi="Times New Roman" w:cs="Times New Roman"/>
        </w:rPr>
        <w:t>где:</w:t>
      </w:r>
      <w:bookmarkEnd w:id="34"/>
      <w:bookmarkEnd w:id="35"/>
      <w:bookmarkEnd w:id="36"/>
    </w:p>
    <w:p w:rsidR="00E23475" w:rsidRPr="00023803" w:rsidRDefault="00240013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37" w:name="_Toc387933860"/>
        <w:bookmarkStart w:id="38" w:name="_Toc387934067"/>
        <w:bookmarkStart w:id="39" w:name="_Toc388002397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значение Расчетной цены ценной бумаги, установленное на момент последней проведённой клиринговой сессии.</w:t>
      </w:r>
      <w:bookmarkEnd w:id="37"/>
      <w:bookmarkEnd w:id="38"/>
      <w:bookmarkEnd w:id="3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Цены заявок, </w:t>
      </w:r>
      <w:r>
        <w:rPr>
          <w:rFonts w:ascii="Times New Roman" w:hAnsi="Times New Roman"/>
        </w:rPr>
        <w:t>отличной</w:t>
      </w:r>
      <w:r w:rsidRPr="00856046">
        <w:rPr>
          <w:rFonts w:ascii="Times New Roman" w:hAnsi="Times New Roman"/>
        </w:rPr>
        <w:t xml:space="preserve"> от значения, рассчитанного в соответствии с настоящей статьёй Методики,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40" w:name="_Toc387933861"/>
      <w:bookmarkStart w:id="41" w:name="_Toc387934068"/>
      <w:bookmarkStart w:id="42" w:name="_Toc407360447"/>
      <w:r w:rsidRPr="00856046">
        <w:rPr>
          <w:rFonts w:ascii="Times New Roman" w:hAnsi="Times New Roman"/>
        </w:rPr>
        <w:t>Порядок определения курса иностранной валюты</w:t>
      </w:r>
      <w:bookmarkEnd w:id="40"/>
      <w:bookmarkEnd w:id="41"/>
      <w:bookmarkEnd w:id="42"/>
    </w:p>
    <w:p w:rsidR="00E23475" w:rsidRDefault="00E23475" w:rsidP="00E23475">
      <w:pPr>
        <w:pStyle w:val="Point"/>
        <w:rPr>
          <w:rFonts w:ascii="Times New Roman" w:hAnsi="Times New Roman"/>
        </w:rPr>
      </w:pPr>
      <w:bookmarkStart w:id="43" w:name="_Ref387933585"/>
      <w:r w:rsidRPr="00856046">
        <w:rPr>
          <w:rFonts w:ascii="Times New Roman" w:hAnsi="Times New Roman"/>
        </w:rPr>
        <w:t>При определении курса иностранной валюты используется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  <w:bookmarkEnd w:id="43"/>
    </w:p>
    <w:p w:rsidR="00E23475" w:rsidRPr="00023803" w:rsidRDefault="0024001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w:bookmarkStart w:id="44" w:name="_Toc388002399"/>
          <w:bookmarkStart w:id="45" w:name="_Toc387933862"/>
          <w:bookmarkStart w:id="46" w:name="_Toc387934069"/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FXRateExt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w:bookmarkEnd w:id="44"/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  <w:bookmarkEnd w:id="45"/>
      <w:bookmarkEnd w:id="46"/>
    </w:p>
    <w:p w:rsidR="00D81B34" w:rsidRPr="00023803" w:rsidRDefault="00D81B34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47" w:name="_Toc388002400"/>
      <w:bookmarkStart w:id="48" w:name="_Toc387933863"/>
      <w:bookmarkStart w:id="49" w:name="_Toc387934070"/>
      <w:r w:rsidRPr="00023803">
        <w:rPr>
          <w:rFonts w:ascii="Times New Roman" w:hAnsi="Times New Roman"/>
        </w:rPr>
        <w:t>где</w:t>
      </w:r>
      <w:bookmarkEnd w:id="47"/>
    </w:p>
    <w:p w:rsidR="00E23475" w:rsidRPr="00023803" w:rsidRDefault="00240013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0" w:name="_Toc388002401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FXRateExt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="00E23475" w:rsidRPr="00023803">
        <w:rPr>
          <w:rFonts w:ascii="Times New Roman" w:hAnsi="Times New Roman"/>
        </w:rPr>
        <w:t>-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обеспечения;</w:t>
      </w:r>
      <w:bookmarkEnd w:id="48"/>
      <w:bookmarkEnd w:id="49"/>
      <w:bookmarkEnd w:id="50"/>
    </w:p>
    <w:p w:rsidR="00E23475" w:rsidRPr="00023803" w:rsidRDefault="00240013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1" w:name="_Toc387933864"/>
        <w:bookmarkStart w:id="52" w:name="_Toc387934071"/>
        <w:bookmarkStart w:id="53" w:name="_Toc388002402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E23475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51"/>
      <w:bookmarkEnd w:id="52"/>
      <w:bookmarkEnd w:id="53"/>
    </w:p>
    <w:p w:rsidR="00C51222" w:rsidRPr="00016C3E" w:rsidRDefault="00C51222">
      <w:pPr>
        <w:pStyle w:val="Title3"/>
        <w:ind w:left="505" w:hanging="505"/>
        <w:rPr>
          <w:rFonts w:ascii="Times New Roman" w:hAnsi="Times New Roman"/>
        </w:rPr>
      </w:pPr>
      <w:bookmarkStart w:id="54" w:name="_Toc407360448"/>
      <w:r w:rsidRPr="00016C3E">
        <w:rPr>
          <w:rFonts w:ascii="Times New Roman" w:hAnsi="Times New Roman"/>
        </w:rPr>
        <w:t>Порядок установления и изменения</w:t>
      </w:r>
      <w:r w:rsidR="00CF15E4" w:rsidRPr="00016C3E">
        <w:rPr>
          <w:rFonts w:ascii="Times New Roman" w:hAnsi="Times New Roman"/>
        </w:rPr>
        <w:t xml:space="preserve"> Радиуса</w:t>
      </w:r>
      <w:r w:rsidR="00C55283" w:rsidRPr="00016C3E">
        <w:rPr>
          <w:rFonts w:ascii="Times New Roman" w:hAnsi="Times New Roman"/>
        </w:rPr>
        <w:t>,</w:t>
      </w:r>
      <w:r w:rsidR="001B4056" w:rsidRPr="00016C3E">
        <w:rPr>
          <w:rFonts w:ascii="Times New Roman" w:hAnsi="Times New Roman"/>
        </w:rPr>
        <w:t xml:space="preserve"> </w:t>
      </w:r>
      <w:r w:rsidR="00577FE1" w:rsidRPr="00577FE1">
        <w:rPr>
          <w:rFonts w:ascii="Times New Roman" w:hAnsi="Times New Roman"/>
        </w:rPr>
        <w:t>Верхнего</w:t>
      </w:r>
      <w:r w:rsidR="00897FED">
        <w:rPr>
          <w:rFonts w:ascii="Times New Roman" w:hAnsi="Times New Roman"/>
        </w:rPr>
        <w:t>/</w:t>
      </w:r>
      <w:r w:rsidR="00577FE1" w:rsidRPr="00577FE1">
        <w:rPr>
          <w:rFonts w:ascii="Times New Roman" w:hAnsi="Times New Roman"/>
        </w:rPr>
        <w:t>Нижнего лимита перерасчета Радиуса</w:t>
      </w:r>
      <w:r w:rsidR="009E7A25">
        <w:rPr>
          <w:rFonts w:ascii="Times New Roman" w:hAnsi="Times New Roman"/>
        </w:rPr>
        <w:t>, Лимита и Верхнего/Нижнего лимита</w:t>
      </w:r>
      <w:bookmarkEnd w:id="54"/>
    </w:p>
    <w:p w:rsidR="00577FE1" w:rsidRPr="007B33D3" w:rsidRDefault="00C55283" w:rsidP="00577FE1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Для расчета Верхнего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 xml:space="preserve">Нижнего лимита </w:t>
      </w:r>
      <w:r w:rsidR="00577FE1" w:rsidRPr="00577FE1">
        <w:rPr>
          <w:rFonts w:ascii="Times New Roman" w:hAnsi="Times New Roman"/>
        </w:rPr>
        <w:t>перерасчета Радиуса</w:t>
      </w:r>
      <w:r w:rsidR="00CF15E4" w:rsidRPr="00016C3E" w:rsidDel="00CF15E4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>используются следующие соотношения: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1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UR=SP+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Pr="00023803">
        <w:rPr>
          <w:rFonts w:ascii="Cambria Math" w:hAnsi="Cambria Math"/>
        </w:rPr>
        <w:t>;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2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LR=SP-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="00AF3C66" w:rsidRPr="00023803">
        <w:rPr>
          <w:rFonts w:ascii="Cambria Math" w:hAnsi="Cambria Math"/>
        </w:rPr>
        <w:t>.</w:t>
      </w:r>
    </w:p>
    <w:p w:rsidR="00B042A8" w:rsidRPr="00016C3E" w:rsidRDefault="00B042A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Значения </w:t>
      </w:r>
      <w:r w:rsidR="00577FE1" w:rsidRPr="009457AC">
        <w:rPr>
          <w:rFonts w:ascii="Times New Roman" w:hAnsi="Times New Roman"/>
        </w:rPr>
        <w:t>UR</w:t>
      </w:r>
      <w:r w:rsidRPr="00016C3E">
        <w:rPr>
          <w:rFonts w:ascii="Times New Roman" w:hAnsi="Times New Roman"/>
        </w:rPr>
        <w:t xml:space="preserve"> и</w:t>
      </w:r>
      <w:r w:rsidR="00CF15E4" w:rsidRPr="00016C3E">
        <w:rPr>
          <w:rFonts w:ascii="Times New Roman" w:hAnsi="Times New Roman"/>
        </w:rPr>
        <w:t xml:space="preserve"> </w:t>
      </w:r>
      <w:r w:rsidR="00577FE1" w:rsidRPr="009457AC">
        <w:rPr>
          <w:rFonts w:ascii="Times New Roman" w:hAnsi="Times New Roman"/>
        </w:rPr>
        <w:t>UL</w:t>
      </w:r>
      <w:r w:rsidRPr="00016C3E">
        <w:rPr>
          <w:rFonts w:ascii="Times New Roman" w:hAnsi="Times New Roman"/>
        </w:rPr>
        <w:t xml:space="preserve"> устанавливаются при установлении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>изменении</w:t>
      </w:r>
      <w:r w:rsidR="004E5D32">
        <w:rPr>
          <w:rFonts w:ascii="Times New Roman" w:hAnsi="Times New Roman"/>
        </w:rPr>
        <w:t xml:space="preserve"> Радиуса</w:t>
      </w:r>
      <w:proofErr w:type="gramStart"/>
      <w:r w:rsidR="004E5D32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RR</m:t>
        </m:r>
      </m:oMath>
      <w:r w:rsidR="004E5D32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</w:t>
      </w:r>
      <w:proofErr w:type="gramEnd"/>
      <w:r w:rsidRPr="00016C3E">
        <w:rPr>
          <w:rFonts w:ascii="Times New Roman" w:hAnsi="Times New Roman"/>
        </w:rPr>
        <w:t xml:space="preserve">в соответствии с соотношениями из пункта </w:t>
      </w:r>
      <w:fldSimple w:instr=" REF _Ref260445595 \r \h  \* MERGEFORMAT ">
        <w:r w:rsidR="00274D4E" w:rsidRPr="00016C3E">
          <w:rPr>
            <w:rFonts w:ascii="Times New Roman" w:hAnsi="Times New Roman"/>
          </w:rPr>
          <w:t>5.1</w:t>
        </w:r>
      </w:fldSimple>
      <w:r w:rsidRPr="00016C3E">
        <w:rPr>
          <w:rFonts w:ascii="Times New Roman" w:hAnsi="Times New Roman"/>
        </w:rPr>
        <w:t xml:space="preserve"> настоящей Методики.</w:t>
      </w:r>
    </w:p>
    <w:p w:rsidR="00217153" w:rsidRPr="00016C3E" w:rsidRDefault="00E23475" w:rsidP="0096442C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Радиус в первый Торговый день обращения ценной бумаги/ в первый Торговый день, в который заключается договор, являющийся производным финансовым инструментом/в Торговый день, в который принято решение о включении иностранной валюты в перечень иностранных валют, принимаемых КЦ в качестве Средств обеспечения, устанавливается следующим образом:</w:t>
      </w:r>
    </w:p>
    <w:p w:rsidR="00CF15E4" w:rsidRPr="00023803" w:rsidRDefault="00604E4A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*MBIM,</m:t>
          </m:r>
        </m:oMath>
      </m:oMathPara>
    </w:p>
    <w:p w:rsidR="00CF15E4" w:rsidRPr="00016C3E" w:rsidRDefault="00DF155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</w:t>
      </w:r>
      <w:r w:rsidR="00CF15E4" w:rsidRPr="00016C3E">
        <w:rPr>
          <w:rFonts w:ascii="Times New Roman" w:hAnsi="Times New Roman"/>
        </w:rPr>
        <w:t>де</w:t>
      </w:r>
      <w:r>
        <w:rPr>
          <w:rFonts w:ascii="Times New Roman" w:hAnsi="Times New Roman"/>
        </w:rPr>
        <w:t>:</w:t>
      </w:r>
    </w:p>
    <w:p w:rsidR="00CF15E4" w:rsidRPr="00B7303B" w:rsidRDefault="00E23475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Pr="00856046">
        <w:rPr>
          <w:rFonts w:ascii="Times New Roman" w:hAnsi="Times New Roman"/>
          <w:iCs/>
        </w:rPr>
        <w:t xml:space="preserve"> – Расчетная цена ценной бумаги, Расчетная цена договора, являющегося производным финансовым инструментом или курс иностранной валюты.</w:t>
      </w:r>
    </w:p>
    <w:p w:rsidR="00163D18" w:rsidRPr="00016C3E" w:rsidRDefault="00163D18" w:rsidP="00163D1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Изменение </w:t>
      </w:r>
      <w:r w:rsidR="00B042A8" w:rsidRPr="00016C3E">
        <w:rPr>
          <w:rFonts w:ascii="Times New Roman" w:hAnsi="Times New Roman"/>
        </w:rPr>
        <w:t xml:space="preserve">Радиуса </w:t>
      </w:r>
      <w:r w:rsidR="00C665AA">
        <w:rPr>
          <w:rFonts w:ascii="Times New Roman" w:hAnsi="Times New Roman"/>
        </w:rPr>
        <w:t xml:space="preserve">может осуществляться КЦ в </w:t>
      </w:r>
      <w:r w:rsidRPr="00016C3E">
        <w:rPr>
          <w:rFonts w:ascii="Times New Roman" w:hAnsi="Times New Roman"/>
        </w:rPr>
        <w:t xml:space="preserve">ходе клиринговой сессии или в течение </w:t>
      </w:r>
      <w:r w:rsidR="00C665AA">
        <w:rPr>
          <w:rFonts w:ascii="Times New Roman" w:hAnsi="Times New Roman"/>
        </w:rPr>
        <w:t xml:space="preserve">Торгового </w:t>
      </w:r>
      <w:r w:rsidR="00E55B7A">
        <w:rPr>
          <w:rFonts w:ascii="Times New Roman" w:hAnsi="Times New Roman"/>
        </w:rPr>
        <w:t xml:space="preserve">дня </w:t>
      </w:r>
      <w:r w:rsidRPr="00016C3E">
        <w:rPr>
          <w:rFonts w:ascii="Times New Roman" w:hAnsi="Times New Roman"/>
        </w:rPr>
        <w:t>в порядке, установленном настоящей Методикой.</w:t>
      </w:r>
    </w:p>
    <w:p w:rsidR="00163D18" w:rsidRPr="00016C3E" w:rsidRDefault="00163D18" w:rsidP="00163D18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При изменении </w:t>
      </w:r>
      <w:r w:rsidR="005E52C3" w:rsidRPr="00016C3E">
        <w:rPr>
          <w:rFonts w:ascii="Times New Roman" w:hAnsi="Times New Roman" w:cs="Times New Roman"/>
        </w:rPr>
        <w:t xml:space="preserve">Радиуса </w:t>
      </w:r>
      <w:r w:rsidRPr="00016C3E">
        <w:rPr>
          <w:rFonts w:ascii="Times New Roman" w:hAnsi="Times New Roman" w:cs="Times New Roman"/>
        </w:rPr>
        <w:t xml:space="preserve">осуществляется перерасчёт размера </w:t>
      </w:r>
      <w:r w:rsidR="00E55B7A">
        <w:rPr>
          <w:rFonts w:ascii="Times New Roman" w:hAnsi="Times New Roman" w:cs="Times New Roman"/>
        </w:rPr>
        <w:t>Г</w:t>
      </w:r>
      <w:r w:rsidRPr="00016C3E">
        <w:rPr>
          <w:rFonts w:ascii="Times New Roman" w:hAnsi="Times New Roman" w:cs="Times New Roman"/>
        </w:rPr>
        <w:t>арантийного обеспечения.</w:t>
      </w:r>
    </w:p>
    <w:p w:rsidR="00163D18" w:rsidRPr="001C0791" w:rsidRDefault="005C2BB5" w:rsidP="00163D18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Изменённые </w:t>
      </w:r>
      <w:r w:rsidR="00163D18" w:rsidRPr="001C0791">
        <w:rPr>
          <w:rFonts w:ascii="Times New Roman" w:hAnsi="Times New Roman" w:cs="Times New Roman"/>
        </w:rPr>
        <w:t xml:space="preserve">значения </w:t>
      </w:r>
      <w:r w:rsidR="005E52C3" w:rsidRPr="001C0791">
        <w:rPr>
          <w:rFonts w:ascii="Times New Roman" w:hAnsi="Times New Roman" w:cs="Times New Roman"/>
        </w:rPr>
        <w:t xml:space="preserve">Радиуса </w:t>
      </w:r>
      <w:r w:rsidR="00163D18" w:rsidRPr="009E7A25">
        <w:rPr>
          <w:rFonts w:ascii="Times New Roman" w:hAnsi="Times New Roman" w:cs="Times New Roman"/>
        </w:rPr>
        <w:t xml:space="preserve">и размера </w:t>
      </w:r>
      <w:r w:rsidR="00577FE1" w:rsidRPr="00577FE1">
        <w:rPr>
          <w:rFonts w:ascii="Times New Roman" w:hAnsi="Times New Roman" w:cs="Times New Roman"/>
        </w:rPr>
        <w:t>Га</w:t>
      </w:r>
      <w:r w:rsidR="00163D18" w:rsidRPr="001C0791">
        <w:rPr>
          <w:rFonts w:ascii="Times New Roman" w:hAnsi="Times New Roman" w:cs="Times New Roman"/>
        </w:rPr>
        <w:t xml:space="preserve">рантийного обеспечения начинают действовать с момента их установления </w:t>
      </w:r>
      <w:r w:rsidR="00E55B7A">
        <w:rPr>
          <w:rFonts w:ascii="Times New Roman" w:hAnsi="Times New Roman" w:cs="Times New Roman"/>
        </w:rPr>
        <w:t>КЦ</w:t>
      </w:r>
      <w:r w:rsidR="00163D18" w:rsidRPr="001C0791">
        <w:rPr>
          <w:rFonts w:ascii="Times New Roman" w:hAnsi="Times New Roman" w:cs="Times New Roman"/>
        </w:rPr>
        <w:t>.</w:t>
      </w:r>
    </w:p>
    <w:p w:rsidR="005E52C3" w:rsidRPr="00016C3E" w:rsidRDefault="005E52C3" w:rsidP="007D5AD6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ходе клиринговой сессии</w:t>
      </w:r>
      <w:r w:rsidR="00436931" w:rsidRPr="00016C3E">
        <w:rPr>
          <w:rFonts w:ascii="Times New Roman" w:hAnsi="Times New Roman"/>
        </w:rPr>
        <w:t xml:space="preserve">, осуществляемой по окончании </w:t>
      </w:r>
      <w:r w:rsidR="005C2BB5">
        <w:rPr>
          <w:rFonts w:ascii="Times New Roman" w:hAnsi="Times New Roman"/>
        </w:rPr>
        <w:t>Торгового дня</w:t>
      </w:r>
      <w:r w:rsidR="00436931" w:rsidRPr="00016C3E">
        <w:rPr>
          <w:rFonts w:ascii="Times New Roman" w:hAnsi="Times New Roman"/>
        </w:rPr>
        <w:t xml:space="preserve"> </w:t>
      </w:r>
      <w:proofErr w:type="spellStart"/>
      <w:r w:rsidR="00436931" w:rsidRPr="00016C3E">
        <w:rPr>
          <w:rFonts w:ascii="Times New Roman" w:hAnsi="Times New Roman"/>
        </w:rPr>
        <w:t>t</w:t>
      </w:r>
      <w:proofErr w:type="spellEnd"/>
      <w:r w:rsidR="00436931" w:rsidRPr="00016C3E"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Радиус рассчитывается в </w:t>
      </w:r>
      <w:r w:rsidR="00216BB9">
        <w:rPr>
          <w:rFonts w:ascii="Times New Roman" w:hAnsi="Times New Roman"/>
        </w:rPr>
        <w:t xml:space="preserve">следующем </w:t>
      </w:r>
      <w:r w:rsidRPr="00016C3E">
        <w:rPr>
          <w:rFonts w:ascii="Times New Roman" w:hAnsi="Times New Roman"/>
        </w:rPr>
        <w:t>порядке</w:t>
      </w:r>
      <w:r w:rsidR="00216BB9">
        <w:rPr>
          <w:rFonts w:ascii="Times New Roman" w:hAnsi="Times New Roman"/>
        </w:rPr>
        <w:t>:</w:t>
      </w:r>
    </w:p>
    <w:bookmarkEnd w:id="9"/>
    <w:bookmarkEnd w:id="10"/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по следующему алгоритму:</w:t>
      </w:r>
    </w:p>
    <w:p w:rsidR="00E23475" w:rsidRPr="00107240" w:rsidRDefault="00E23475" w:rsidP="00107240">
      <w:pPr>
        <w:pStyle w:val="Point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RR</m:t>
        </m:r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724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или если они происходили, но при этом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>, или в отношении иностранной валюты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>, то:</w:t>
      </w:r>
      <w:proofErr w:type="gramEnd"/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E23475" w:rsidRPr="00856046" w:rsidRDefault="00E23475" w:rsidP="00E23475">
      <w:pPr>
        <w:pStyle w:val="Point3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происходили увеличения </w:t>
      </w:r>
      <m:oMath>
        <m:r>
          <w:rPr>
            <w:rFonts w:ascii="Cambria Math" w:hAnsi="Cambria Math" w:cs="Times New Roman"/>
          </w:rPr>
          <m:t>RR</m:t>
        </m:r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/>
          <w:color w:val="000000"/>
          <w:shd w:val="clear" w:color="auto" w:fill="FFFFFF"/>
        </w:rPr>
        <w:t>6.8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используются в формуле для расчета </w:t>
      </w:r>
      <w:r w:rsidRPr="00856046">
        <w:rPr>
          <w:rFonts w:ascii="Times New Roman" w:hAnsi="Times New Roman" w:cs="Times New Roman"/>
        </w:rPr>
        <w:t>Радиуса:</w:t>
      </w:r>
    </w:p>
    <w:p w:rsidR="00E23475" w:rsidRPr="00856046" w:rsidRDefault="00E23475" w:rsidP="00E23475">
      <w:pPr>
        <w:numPr>
          <w:ilvl w:val="0"/>
          <w:numId w:val="0"/>
        </w:numPr>
        <w:ind w:left="426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 остальных случаях</m:t>
                  </m:r>
                </m:e>
              </m:eqArr>
            </m:e>
          </m:d>
        </m:oMath>
      </m:oMathPara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5" w:name="_Ref260446124"/>
      <w:r w:rsidRPr="00856046">
        <w:rPr>
          <w:rFonts w:ascii="Times New Roman" w:hAnsi="Times New Roman"/>
        </w:rPr>
        <w:t>КЦ также вправе увеличить Радиус в течение клиринговой сессии, увеличив минимальное Базовое гарантийное обеспечение, в следующих случаях:</w:t>
      </w:r>
      <w:bookmarkEnd w:id="55"/>
    </w:p>
    <w:p w:rsidR="00E23475" w:rsidRPr="00856046" w:rsidRDefault="00E23475" w:rsidP="00E23475">
      <w:pPr>
        <w:pStyle w:val="Point2"/>
        <w:numPr>
          <w:ilvl w:val="0"/>
          <w:numId w:val="18"/>
        </w:numPr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перед выходными и (или) нерабочими праздничными днями, когда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 не проводятся в течение 3 (трех) и более дней подряд и (</w:t>
      </w:r>
      <w:proofErr w:type="gramStart"/>
      <w:r w:rsidRPr="00856046">
        <w:rPr>
          <w:rFonts w:ascii="Times New Roman" w:hAnsi="Times New Roman" w:cs="Times New Roman"/>
        </w:rPr>
        <w:t xml:space="preserve">или) </w:t>
      </w:r>
      <w:proofErr w:type="gramEnd"/>
      <w:r w:rsidRPr="00856046">
        <w:rPr>
          <w:rFonts w:ascii="Times New Roman" w:hAnsi="Times New Roman" w:cs="Times New Roman"/>
        </w:rPr>
        <w:t xml:space="preserve">значение </w:t>
      </w:r>
      <w:r w:rsidRPr="00856046">
        <w:rPr>
          <w:rFonts w:ascii="Times New Roman" w:hAnsi="Times New Roman"/>
        </w:rPr>
        <w:t xml:space="preserve">курса иностранной валюты, не определяется </w:t>
      </w:r>
      <w:r w:rsidRPr="00856046">
        <w:rPr>
          <w:rFonts w:ascii="Times New Roman" w:hAnsi="Times New Roman" w:cs="Times New Roman"/>
        </w:rPr>
        <w:t>в течение 3 (трех) и более дней подряд</w:t>
      </w:r>
      <w:r w:rsidRPr="00856046">
        <w:rPr>
          <w:rFonts w:ascii="Times New Roman" w:hAnsi="Times New Roman"/>
        </w:rPr>
        <w:t xml:space="preserve"> третьим лицом, указанным в пункте </w:t>
      </w:r>
      <w:r w:rsidR="00107240" w:rsidRPr="00107240">
        <w:rPr>
          <w:rFonts w:ascii="Times New Roman" w:hAnsi="Times New Roman"/>
        </w:rPr>
        <w:t>5.1</w:t>
      </w:r>
      <w:r w:rsidRPr="00856046">
        <w:rPr>
          <w:rFonts w:ascii="Times New Roman" w:hAnsi="Times New Roman"/>
        </w:rPr>
        <w:t xml:space="preserve"> настоящей Методики</w:t>
      </w:r>
      <w:r w:rsidRPr="00856046">
        <w:rPr>
          <w:rFonts w:ascii="Times New Roman" w:hAnsi="Times New Roman" w:cs="Times New Roman"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proofErr w:type="gramStart"/>
      <w:r w:rsidRPr="00856046">
        <w:rPr>
          <w:rFonts w:ascii="Times New Roman" w:hAnsi="Times New Roman" w:cs="Times New Roman"/>
        </w:rPr>
        <w:t>перед выходными и (или) нерабочими праздничными днями, если хотя бы в один такой день, в который не проводятся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</w:t>
      </w:r>
      <w:r w:rsidRPr="00856046" w:rsidDel="000316D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но предполагается проведение торгов аналогичными ценными бумагами и (или) договорами, являющимися производными финансовыми инструментами, с аналогичным  базисным (базовым) активом, на торгах иного организатора торговли.</w:t>
      </w:r>
      <w:proofErr w:type="gramEnd"/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КЦ вправе уменьшить </w:t>
      </w:r>
      <w:r w:rsidRPr="00856046">
        <w:rPr>
          <w:rFonts w:ascii="Times New Roman" w:hAnsi="Times New Roman"/>
        </w:rPr>
        <w:t>минимальное Базовое гарантийное обеспечение</w:t>
      </w:r>
      <w:r w:rsidRPr="00856046">
        <w:rPr>
          <w:rFonts w:ascii="Times New Roman" w:hAnsi="Times New Roman" w:cs="Times New Roman"/>
        </w:rPr>
        <w:t xml:space="preserve"> до значения, установленного до увеличения, после истечения периода времени, указанного в настоящем пункте Методики.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6" w:name="_Ref260446782"/>
      <w:r w:rsidRPr="00856046">
        <w:rPr>
          <w:rFonts w:ascii="Times New Roman" w:hAnsi="Times New Roman"/>
        </w:rPr>
        <w:t xml:space="preserve">В течение Торгового дня </w:t>
      </w:r>
      <w:bookmarkStart w:id="57" w:name="_Ref343436053"/>
      <w:r w:rsidRPr="00856046">
        <w:rPr>
          <w:rFonts w:ascii="Times New Roman" w:hAnsi="Times New Roman"/>
        </w:rPr>
        <w:t>КЦ увеличивает Радиус при выполнении одного из следующих условий (не применимо в отношении иностранных валют):</w:t>
      </w:r>
      <w:bookmarkEnd w:id="56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bookmarkStart w:id="58" w:name="_Ref387081860"/>
      <w:bookmarkEnd w:id="57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покупку с ценой</w:t>
      </w:r>
      <w:proofErr w:type="gramEnd"/>
      <w:r w:rsidRPr="00856046">
        <w:rPr>
          <w:rFonts w:ascii="Times New Roman" w:hAnsi="Times New Roman" w:cs="Times New Roman"/>
        </w:rPr>
        <w:t xml:space="preserve">, большей или равной </w:t>
      </w:r>
      <m:oMath>
        <m:r>
          <w:rPr>
            <w:rFonts w:ascii="Cambria Math" w:hAnsi="Cambria Math" w:cs="Times New Roman"/>
          </w:rPr>
          <m:t>UR</m:t>
        </m:r>
      </m:oMath>
      <w:r w:rsidRPr="00856046">
        <w:rPr>
          <w:rFonts w:ascii="Times New Roman" w:hAnsi="Times New Roman" w:cs="Times New Roman"/>
        </w:rPr>
        <w:t xml:space="preserve">,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 w:rsidDel="000D334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хотя бы одной безадресной Заявки на покупку с ценой, большей или равной выражению </w:t>
      </w:r>
      <m:oMath>
        <m:r>
          <w:rPr>
            <w:rFonts w:ascii="Cambria Math" w:hAnsi="Cambria Math" w:cs="Times New Roman"/>
          </w:rPr>
          <m:t>UR-b*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;</w:t>
      </w:r>
      <w:bookmarkEnd w:id="58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  <w:color w:val="000000"/>
        </w:rPr>
      </w:pPr>
      <w:bookmarkStart w:id="59" w:name="_Ref387081862"/>
      <w:proofErr w:type="gramStart"/>
      <w:r w:rsidRPr="00856046">
        <w:rPr>
          <w:rFonts w:ascii="Times New Roman" w:hAnsi="Times New Roman" w:cs="Times New Roman"/>
        </w:rPr>
        <w:lastRenderedPageBreak/>
        <w:t>при регистрации в реестре Заявок в ходе Торгового дня безадресной Заявки на продажу с ценой</w:t>
      </w:r>
      <w:proofErr w:type="gramEnd"/>
      <w:r w:rsidRPr="00856046">
        <w:rPr>
          <w:rFonts w:ascii="Times New Roman" w:hAnsi="Times New Roman" w:cs="Times New Roman"/>
        </w:rPr>
        <w:t xml:space="preserve">, меньшей или равной </w:t>
      </w:r>
      <m:oMath>
        <m:r>
          <w:rPr>
            <w:rFonts w:ascii="Cambria Math" w:hAnsi="Cambria Math" w:cs="Times New Roman"/>
          </w:rPr>
          <m:t>LR,</m:t>
        </m:r>
      </m:oMath>
      <w:r w:rsidRPr="00856046">
        <w:rPr>
          <w:rFonts w:ascii="Times New Roman" w:hAnsi="Times New Roman" w:cs="Times New Roman"/>
        </w:rPr>
        <w:t xml:space="preserve">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>
        <w:rPr>
          <w:rFonts w:ascii="Times New Roman" w:hAnsi="Times New Roman" w:cs="Times New Roman"/>
        </w:rPr>
        <w:t xml:space="preserve"> хотя бы одной безадресной Заявки на продажу с ценой, меньшей или равной выражению </w:t>
      </w:r>
      <m:oMath>
        <m:r>
          <w:rPr>
            <w:rFonts w:ascii="Cambria Math" w:hAnsi="Cambria Math" w:cs="Times New Roman"/>
          </w:rPr>
          <m:t>LR+b*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.</w:t>
      </w:r>
    </w:p>
    <w:p w:rsidR="00E23475" w:rsidRDefault="00E23475" w:rsidP="00FD30E6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</w:rPr>
      </w:pPr>
      <w:r w:rsidRPr="00856046">
        <w:rPr>
          <w:rFonts w:ascii="Times New Roman" w:hAnsi="Times New Roman" w:cs="Times New Roman"/>
          <w:iCs/>
        </w:rPr>
        <w:t xml:space="preserve">В </w:t>
      </w:r>
      <w:proofErr w:type="gramStart"/>
      <w:r w:rsidRPr="00856046">
        <w:rPr>
          <w:rFonts w:ascii="Times New Roman" w:hAnsi="Times New Roman" w:cs="Times New Roman"/>
          <w:iCs/>
        </w:rPr>
        <w:t>целях</w:t>
      </w:r>
      <w:proofErr w:type="gramEnd"/>
      <w:r w:rsidRPr="00856046">
        <w:rPr>
          <w:rFonts w:ascii="Times New Roman" w:hAnsi="Times New Roman" w:cs="Times New Roman"/>
          <w:iCs/>
        </w:rPr>
        <w:t xml:space="preserve"> настоящего пункта Методики для увеличения Радиуса не учитываются Скрытые Заявки и скрытые Заявки с динамической ценой.</w:t>
      </w:r>
      <w:bookmarkEnd w:id="59"/>
    </w:p>
    <w:p w:rsidR="00E23475" w:rsidRPr="00856046" w:rsidRDefault="00E23475" w:rsidP="00E23475">
      <w:pPr>
        <w:pStyle w:val="Point"/>
        <w:rPr>
          <w:rFonts w:ascii="Times New Roman" w:hAnsi="Times New Roman"/>
          <w:color w:val="000000"/>
        </w:rPr>
      </w:pPr>
      <w:bookmarkStart w:id="60" w:name="_Ref387932986"/>
      <w:r w:rsidRPr="00856046">
        <w:rPr>
          <w:rFonts w:ascii="Times New Roman" w:hAnsi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/>
        </w:rPr>
        <w:t xml:space="preserve"> 6.7</w:t>
      </w:r>
      <w:r w:rsidRPr="00856046">
        <w:rPr>
          <w:rFonts w:ascii="Times New Roman" w:hAnsi="Times New Roman"/>
        </w:rPr>
        <w:t xml:space="preserve"> настоящей Методики, изменение Радиуса происходит следующим образом (не применимо в отношении иностранных валют):</w:t>
      </w:r>
      <w:bookmarkEnd w:id="60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в случае первичного наступления любого из событий, указанных в подпунктах</w:t>
      </w:r>
      <w:r w:rsidR="00FD30E6">
        <w:rPr>
          <w:rFonts w:ascii="Times New Roman" w:hAnsi="Times New Roman" w:cs="Times New Roman"/>
        </w:rPr>
        <w:t xml:space="preserve"> 6.7.1.-6.7.2.</w:t>
      </w:r>
      <w:r w:rsidRPr="00856046">
        <w:rPr>
          <w:rFonts w:ascii="Times New Roman" w:hAnsi="Times New Roman" w:cs="Times New Roman"/>
        </w:rPr>
        <w:t xml:space="preserve"> настоящей Методики:</w:t>
      </w:r>
    </w:p>
    <w:p w:rsidR="00E23475" w:rsidRPr="00023803" w:rsidRDefault="0024001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=RR*cExp</m:t>
        </m:r>
      </m:oMath>
      <w:r w:rsidR="00E23475" w:rsidRPr="00023803">
        <w:rPr>
          <w:rFonts w:ascii="Cambria Math" w:hAnsi="Cambria Math"/>
        </w:rPr>
        <w:t>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вторичного наступления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 xml:space="preserve"> настоящей Методики, значение Радиуса определяется КЦ на основании экспертной оценки.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третьего и последующих наступлений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>настоящей Методики,</w:t>
      </w:r>
      <w:r w:rsidR="00FD30E6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значение Радиуса остаётся неизменным.</w:t>
      </w:r>
    </w:p>
    <w:p w:rsidR="00E23475" w:rsidRDefault="00E23475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proofErr w:type="gramStart"/>
      <w:r w:rsidRPr="00856046">
        <w:rPr>
          <w:rFonts w:ascii="Times New Roman" w:hAnsi="Times New Roman"/>
        </w:rPr>
        <w:t>КЦ вправе принять решение об установлении значения минимального Базового размера гарантийного обеспечения и Радиуса, отличных от значений, рассчитанных соответствии с настоящей статьёй Методики, на основании экспертной оценки.</w:t>
      </w:r>
      <w:proofErr w:type="gramEnd"/>
    </w:p>
    <w:p w:rsidR="00B5031C" w:rsidRPr="00856046" w:rsidRDefault="00B5031C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значения минимального Базового размера гарантийного обеспечения и Радиуса в случае изменения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Pr="00575C34">
        <w:rPr>
          <w:rFonts w:ascii="Times New Roman" w:hAnsi="Times New Roman"/>
        </w:rPr>
        <w:t>была осуществлена процедура дробления и (или) консолидации</w:t>
      </w:r>
      <w:r>
        <w:rPr>
          <w:rFonts w:ascii="Times New Roman" w:hAnsi="Times New Roman"/>
        </w:rPr>
        <w:t>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Для расчета </w:t>
      </w:r>
      <w:r w:rsidRPr="00856046">
        <w:rPr>
          <w:rFonts w:ascii="Times New Roman" w:hAnsi="Times New Roman"/>
          <w:color w:val="000000"/>
          <w:shd w:val="clear" w:color="auto" w:fill="FFFFFF"/>
        </w:rPr>
        <w:t xml:space="preserve">Лимита и </w:t>
      </w:r>
      <w:r w:rsidRPr="00856046">
        <w:rPr>
          <w:rFonts w:ascii="Times New Roman" w:hAnsi="Times New Roman"/>
        </w:rPr>
        <w:t>Верхнего/Нижнего лимита используются следующие соотношения (не применимо в отношении иностранных валют):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>
        <m:r>
          <w:rPr>
            <w:rFonts w:ascii="Cambria Math" w:hAnsi="Cambria Math" w:cs="Times New Roman"/>
          </w:rPr>
          <m:t>L=RR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>
        <m:r>
          <w:rPr>
            <w:rFonts w:ascii="Cambria Math" w:hAnsi="Cambria Math" w:cs="Times New Roman"/>
          </w:rPr>
          <m:t>UR=SP+RR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LR=SP-</m:t>
          </m:r>
          <m:r>
            <m:rPr>
              <m:sty m:val="p"/>
            </m:rPr>
            <w:rPr>
              <w:rFonts w:ascii="Cambria Math" w:hAnsi="Cambria Math" w:cs="Times New Roman"/>
            </w:rPr>
            <m:t>RR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rPr>
          <w:rFonts w:ascii="Times New Roman" w:hAnsi="Times New Roman"/>
        </w:rPr>
      </w:pPr>
      <w:r w:rsidRPr="00856046">
        <w:rPr>
          <w:rFonts w:ascii="Times New Roman" w:hAnsi="Times New Roman" w:cs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 w:cs="Times New Roman"/>
        </w:rPr>
        <w:t xml:space="preserve"> 6.7.</w:t>
      </w:r>
      <w:r w:rsidRPr="00856046">
        <w:rPr>
          <w:rFonts w:ascii="Times New Roman" w:hAnsi="Times New Roman" w:cs="Times New Roman"/>
        </w:rPr>
        <w:t xml:space="preserve"> настоящей Методики, изменение 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Лимита и </w:t>
      </w:r>
      <w:r w:rsidRPr="00856046">
        <w:rPr>
          <w:rFonts w:ascii="Times New Roman" w:hAnsi="Times New Roman" w:cs="Times New Roman"/>
        </w:rPr>
        <w:t>Верхнего/Нижнего лимита не осуществляется.</w:t>
      </w:r>
    </w:p>
    <w:p w:rsidR="00E23475" w:rsidRPr="00FD30E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61" w:name="_Toc360073016"/>
      <w:bookmarkStart w:id="62" w:name="_Toc387934073"/>
      <w:bookmarkStart w:id="63" w:name="_Toc407360449"/>
      <w:bookmarkEnd w:id="61"/>
      <w:r w:rsidRPr="00856046">
        <w:rPr>
          <w:rFonts w:ascii="Times New Roman" w:hAnsi="Times New Roman"/>
        </w:rPr>
        <w:t>Порядок определения стоимости имущества, принимаемого в индивидуальное</w:t>
      </w:r>
      <w:r w:rsidR="00CE1FB7">
        <w:rPr>
          <w:rFonts w:ascii="Times New Roman" w:hAnsi="Times New Roman"/>
        </w:rPr>
        <w:t xml:space="preserve"> и коллективное</w:t>
      </w:r>
      <w:r w:rsidR="00B5031C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</w:t>
      </w:r>
      <w:bookmarkEnd w:id="62"/>
      <w:bookmarkEnd w:id="63"/>
    </w:p>
    <w:p w:rsidR="00E23475" w:rsidRPr="00FD30E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ценных бумаг,  принимаемых в индивидуальное 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64" w:name="_Toc387933867"/>
        <w:bookmarkStart w:id="65" w:name="_Toc387934074"/>
        <w:bookmarkStart w:id="66" w:name="_Toc388002405"/>
        <m:r>
          <m:rPr>
            <m:sty m:val="p"/>
          </m:rPr>
          <w:rPr>
            <w:rFonts w:ascii="Cambria Math" w:hAnsi="Cambria Math"/>
          </w:rPr>
          <m:t>ColatValue=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Q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SP*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1-HC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*FXRate</m:t>
            </m:r>
          </m:e>
        </m:nary>
        <w:bookmarkStart w:id="67" w:name="_Toc387933868"/>
        <w:bookmarkStart w:id="68" w:name="_Toc387934075"/>
        <w:bookmarkStart w:id="69" w:name="_Toc388002406"/>
        <w:bookmarkEnd w:id="64"/>
        <w:bookmarkEnd w:id="65"/>
        <w:bookmarkEnd w:id="66"/>
        <m:r>
          <m:rPr>
            <m:sty m:val="p"/>
          </m:rPr>
          <w:rPr>
            <w:rFonts w:ascii="Cambria Math" w:hAnsi="Cambria Math"/>
          </w:rPr>
          <m:t>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Haircut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i: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≥j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023803">
        <w:rPr>
          <w:rFonts w:ascii="Cambria Math" w:hAnsi="Cambria Math"/>
        </w:rPr>
        <w:t>,</w:t>
      </w:r>
      <w:bookmarkEnd w:id="67"/>
      <w:bookmarkEnd w:id="68"/>
      <w:bookmarkEnd w:id="69"/>
    </w:p>
    <w:p w:rsidR="00E23475" w:rsidRPr="00023803" w:rsidRDefault="0024001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70" w:name="_Toc387933869"/>
        <w:bookmarkStart w:id="71" w:name="_Toc387934076"/>
        <w:bookmarkStart w:id="72" w:name="_Toc388002407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E23475" w:rsidRPr="00023803">
        <w:rPr>
          <w:rFonts w:ascii="Cambria Math" w:hAnsi="Cambria Math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=∞</m:t>
        </m:r>
      </m:oMath>
      <w:r w:rsidR="00E23475" w:rsidRPr="00023803">
        <w:rPr>
          <w:rFonts w:ascii="Cambria Math" w:hAnsi="Cambria Math"/>
        </w:rPr>
        <w:t>,</w:t>
      </w:r>
      <w:bookmarkEnd w:id="70"/>
      <w:bookmarkEnd w:id="71"/>
      <w:bookmarkEnd w:id="72"/>
    </w:p>
    <w:p w:rsidR="00E23475" w:rsidRPr="00023803" w:rsidRDefault="00FD30E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3" w:name="_Toc387933870"/>
      <w:bookmarkStart w:id="74" w:name="_Toc387934077"/>
      <w:bookmarkStart w:id="75" w:name="_Toc388002408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73"/>
      <w:bookmarkEnd w:id="74"/>
      <w:bookmarkEnd w:id="75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6" w:name="_Toc387933871"/>
      <w:bookmarkStart w:id="77" w:name="_Toc387934078"/>
      <w:bookmarkStart w:id="78" w:name="_Toc388002409"/>
      <w:proofErr w:type="spellStart"/>
      <w:r w:rsidRPr="00AB138E">
        <w:rPr>
          <w:rFonts w:ascii="Times New Roman" w:hAnsi="Times New Roman" w:cs="Times New Roman"/>
          <w:b/>
        </w:rPr>
        <w:t>n</w:t>
      </w:r>
      <w:proofErr w:type="spellEnd"/>
      <w:r w:rsidRPr="00023803">
        <w:rPr>
          <w:rFonts w:ascii="Times New Roman" w:hAnsi="Times New Roman" w:cs="Times New Roman"/>
        </w:rPr>
        <w:t xml:space="preserve"> – максимальный уровень концентрации;</w:t>
      </w:r>
      <w:bookmarkEnd w:id="76"/>
      <w:bookmarkEnd w:id="77"/>
      <w:bookmarkEnd w:id="78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9" w:name="_Toc387933872"/>
      <w:bookmarkStart w:id="80" w:name="_Toc387934079"/>
      <w:bookmarkStart w:id="81" w:name="_Toc388002410"/>
      <w:r w:rsidRPr="00023803">
        <w:rPr>
          <w:rFonts w:ascii="Times New Roman" w:hAnsi="Times New Roman" w:cs="Times New Roman"/>
          <w:b/>
        </w:rPr>
        <w:t>SP</w:t>
      </w:r>
      <w:r w:rsidRPr="00023803">
        <w:rPr>
          <w:rFonts w:ascii="Times New Roman" w:hAnsi="Times New Roman" w:cs="Times New Roman"/>
        </w:rPr>
        <w:t xml:space="preserve"> – расчетная цена данной ценной бумаги.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допущена к Торгам у Организатора торговли, то расчетная цена данной ценной бумаги определяется в соответствии со статьей 3 настоящей Методики.</w:t>
      </w:r>
      <w:proofErr w:type="gramEnd"/>
      <w:r w:rsidRPr="00023803">
        <w:rPr>
          <w:rFonts w:ascii="Times New Roman" w:hAnsi="Times New Roman" w:cs="Times New Roman"/>
        </w:rPr>
        <w:t xml:space="preserve">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не допущена к Торгам у Организатора торговли, то расчетная цена данной ценной бумаги принимается равной расчетной цене, определенной третьим лицом, указанным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</w:t>
      </w:r>
      <w:r w:rsidR="00374DDC" w:rsidRPr="00AB138E">
        <w:rPr>
          <w:rFonts w:ascii="Times New Roman" w:hAnsi="Times New Roman" w:cs="Times New Roman"/>
        </w:rPr>
        <w:t>;</w:t>
      </w:r>
      <w:bookmarkEnd w:id="79"/>
      <w:bookmarkEnd w:id="80"/>
      <w:bookmarkEnd w:id="81"/>
      <w:proofErr w:type="gramEnd"/>
    </w:p>
    <w:p w:rsidR="00374DDC" w:rsidRPr="00AB138E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2" w:name="_Toc387933873"/>
      <w:bookmarkStart w:id="83" w:name="_Toc387934080"/>
      <w:bookmarkStart w:id="84" w:name="_Toc388002411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количество ценных бумаг, принятых в индивидуальное клиринговое обеспечение</w:t>
      </w:r>
      <w:r w:rsidR="00374DDC" w:rsidRPr="00AB138E">
        <w:rPr>
          <w:rFonts w:ascii="Times New Roman" w:hAnsi="Times New Roman" w:cs="Times New Roman"/>
        </w:rPr>
        <w:t>;</w:t>
      </w:r>
    </w:p>
    <w:p w:rsidR="00E23475" w:rsidRPr="00856046" w:rsidRDefault="00374DDC" w:rsidP="00E23475">
      <w:pPr>
        <w:pStyle w:val="Point2"/>
        <w:rPr>
          <w:rFonts w:ascii="Times New Roman" w:hAnsi="Times New Roman"/>
        </w:rPr>
      </w:pPr>
      <w:proofErr w:type="spellStart"/>
      <w:r w:rsidRPr="00AB138E">
        <w:rPr>
          <w:rFonts w:ascii="Times New Roman" w:hAnsi="Times New Roman" w:cs="Times New Roman"/>
          <w:b/>
        </w:rPr>
        <w:lastRenderedPageBreak/>
        <w:t>FXRate</w:t>
      </w:r>
      <w:proofErr w:type="spellEnd"/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</w:t>
      </w:r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 xml:space="preserve">курс иностранной валюты, определенный в соответствии со статьей 5 настоящей Методики (для ценных бумаг, </w:t>
      </w:r>
      <w:r w:rsidR="005737A5">
        <w:rPr>
          <w:rFonts w:ascii="Times New Roman" w:hAnsi="Times New Roman" w:cs="Times New Roman"/>
        </w:rPr>
        <w:t>цена которых выражена в валюте Российской Федерации,</w:t>
      </w:r>
      <w:r w:rsidRPr="00023803">
        <w:rPr>
          <w:rFonts w:ascii="Times New Roman" w:hAnsi="Times New Roman" w:cs="Times New Roman"/>
        </w:rPr>
        <w:t xml:space="preserve"> принимается </w:t>
      </w:r>
      <w:proofErr w:type="gramStart"/>
      <w:r w:rsidRPr="00023803">
        <w:rPr>
          <w:rFonts w:ascii="Times New Roman" w:hAnsi="Times New Roman" w:cs="Times New Roman"/>
        </w:rPr>
        <w:t>равным</w:t>
      </w:r>
      <w:proofErr w:type="gramEnd"/>
      <w:r w:rsidRPr="00023803">
        <w:rPr>
          <w:rFonts w:ascii="Times New Roman" w:hAnsi="Times New Roman" w:cs="Times New Roman"/>
        </w:rPr>
        <w:t xml:space="preserve"> 1).</w:t>
      </w:r>
      <w:bookmarkEnd w:id="82"/>
      <w:bookmarkEnd w:id="83"/>
      <w:bookmarkEnd w:id="84"/>
      <w:r w:rsidR="00E23475" w:rsidRPr="00856046">
        <w:rPr>
          <w:rFonts w:ascii="Times New Roman" w:hAnsi="Times New Roman" w:cs="Times New Roman"/>
        </w:rPr>
        <w:t>Количество ценных бумаг, принятое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по ценным бумагам в объеме равном объему ценных бумаг, принятых в индивидуальное клиринговое обеспечение.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Стоимость иностранной валюты, принимаемой в индивидуальное </w:t>
      </w:r>
      <w:r w:rsidR="009C4395">
        <w:rPr>
          <w:rFonts w:ascii="Times New Roman" w:hAnsi="Times New Roman"/>
        </w:rPr>
        <w:t xml:space="preserve">и/или </w:t>
      </w:r>
      <w:proofErr w:type="spellStart"/>
      <w:r w:rsidR="009C4395">
        <w:rPr>
          <w:rFonts w:ascii="Times New Roman" w:hAnsi="Times New Roman"/>
        </w:rPr>
        <w:t>коллективное</w:t>
      </w:r>
      <w:r w:rsidRPr="00856046">
        <w:rPr>
          <w:rFonts w:ascii="Times New Roman" w:hAnsi="Times New Roman"/>
        </w:rPr>
        <w:t>клиринговое</w:t>
      </w:r>
      <w:proofErr w:type="spellEnd"/>
      <w:r w:rsidRPr="00856046">
        <w:rPr>
          <w:rFonts w:ascii="Times New Roman" w:hAnsi="Times New Roman"/>
        </w:rPr>
        <w:t xml:space="preserve">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85" w:name="_Toc387933874"/>
        <w:bookmarkStart w:id="86" w:name="_Toc387934081"/>
        <w:bookmarkStart w:id="87" w:name="_Toc388002412"/>
        <m:r>
          <m:rPr>
            <m:sty m:val="p"/>
          </m:rPr>
          <w:rPr>
            <w:rFonts w:ascii="Cambria Math" w:hAnsi="Cambria Math"/>
          </w:rPr>
          <m:t>ColatValue=FXRate*Q</m:t>
        </m:r>
      </m:oMath>
      <w:r w:rsidRPr="00023803">
        <w:rPr>
          <w:rFonts w:ascii="Cambria Math" w:hAnsi="Cambria Math"/>
        </w:rPr>
        <w:t>,</w:t>
      </w:r>
      <w:bookmarkEnd w:id="85"/>
      <w:bookmarkEnd w:id="86"/>
      <w:bookmarkEnd w:id="87"/>
    </w:p>
    <w:p w:rsidR="00E23475" w:rsidRPr="00023803" w:rsidRDefault="006E2E5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8" w:name="_Toc387933875"/>
      <w:bookmarkStart w:id="89" w:name="_Toc387934082"/>
      <w:bookmarkStart w:id="90" w:name="_Toc388002413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88"/>
      <w:bookmarkEnd w:id="89"/>
      <w:bookmarkEnd w:id="90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91" w:name="_Toc387933876"/>
        <w:bookmarkStart w:id="92" w:name="_Toc387934083"/>
        <w:bookmarkStart w:id="93" w:name="_Toc388002414"/>
        <m:r>
          <m:rPr>
            <m:sty m:val="p"/>
          </m:rPr>
          <w:rPr>
            <w:rFonts w:ascii="Cambria Math" w:hAnsi="Cambria Math" w:cs="Times New Roman"/>
          </w:rPr>
          <m:t>FXRate</m:t>
        </m:r>
      </m:oMath>
      <w:r w:rsidRPr="00023803">
        <w:rPr>
          <w:rFonts w:ascii="Times New Roman" w:hAnsi="Times New Roman" w:cs="Times New Roman"/>
        </w:rPr>
        <w:t xml:space="preserve"> – курс иностранной валюты, определенный в </w:t>
      </w:r>
      <w:r w:rsidR="00AB138E" w:rsidRPr="00023803">
        <w:rPr>
          <w:rFonts w:ascii="Times New Roman" w:hAnsi="Times New Roman" w:cs="Times New Roman"/>
        </w:rPr>
        <w:t>соответстви</w:t>
      </w:r>
      <w:r w:rsidR="00AB138E">
        <w:rPr>
          <w:rFonts w:ascii="Times New Roman" w:hAnsi="Times New Roman" w:cs="Times New Roman"/>
        </w:rPr>
        <w:t>и</w:t>
      </w:r>
      <w:r w:rsidRPr="00023803">
        <w:rPr>
          <w:rFonts w:ascii="Times New Roman" w:hAnsi="Times New Roman" w:cs="Times New Roman"/>
        </w:rPr>
        <w:t xml:space="preserve"> со статьей 5 настоя</w:t>
      </w:r>
      <w:bookmarkStart w:id="94" w:name="_GoBack"/>
      <w:bookmarkEnd w:id="94"/>
      <w:r w:rsidRPr="00023803">
        <w:rPr>
          <w:rFonts w:ascii="Times New Roman" w:hAnsi="Times New Roman" w:cs="Times New Roman"/>
        </w:rPr>
        <w:t>щей Методики;</w:t>
      </w:r>
      <w:bookmarkEnd w:id="91"/>
      <w:bookmarkEnd w:id="92"/>
      <w:bookmarkEnd w:id="9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5" w:name="_Toc387933877"/>
      <w:bookmarkStart w:id="96" w:name="_Toc387934084"/>
      <w:bookmarkStart w:id="97" w:name="_Toc388002415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объем иностранной валюты, принятой в индивидуальное</w:t>
      </w:r>
      <w:r w:rsidR="00AB138E">
        <w:rPr>
          <w:rFonts w:ascii="Times New Roman" w:hAnsi="Times New Roman" w:cs="Times New Roman"/>
        </w:rPr>
        <w:t xml:space="preserve"> и/или коллективное</w:t>
      </w:r>
      <w:r w:rsidRPr="00023803">
        <w:rPr>
          <w:rFonts w:ascii="Times New Roman" w:hAnsi="Times New Roman" w:cs="Times New Roman"/>
        </w:rPr>
        <w:t xml:space="preserve"> клиринговое обеспечение.</w:t>
      </w:r>
      <w:bookmarkEnd w:id="95"/>
      <w:bookmarkEnd w:id="96"/>
      <w:bookmarkEnd w:id="97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Объем иностранной валюты, принятой в индивидуальное </w:t>
      </w:r>
      <w:r w:rsidR="00AB138E">
        <w:rPr>
          <w:rFonts w:ascii="Times New Roman" w:hAnsi="Times New Roman" w:cs="Times New Roman"/>
        </w:rPr>
        <w:t xml:space="preserve">и/или коллективное </w:t>
      </w:r>
      <w:r w:rsidRPr="00856046">
        <w:rPr>
          <w:rFonts w:ascii="Times New Roman" w:hAnsi="Times New Roman" w:cs="Times New Roman"/>
        </w:rPr>
        <w:t>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аналогичного объема.</w:t>
      </w:r>
    </w:p>
    <w:sectPr w:rsidR="00E23475" w:rsidRPr="00856046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43" w:rsidRDefault="00CF5743">
      <w:r>
        <w:separator/>
      </w:r>
    </w:p>
  </w:endnote>
  <w:endnote w:type="continuationSeparator" w:id="0">
    <w:p w:rsidR="00CF5743" w:rsidRDefault="00CF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8756AA" w:rsidRDefault="00240013">
        <w:pPr>
          <w:pStyle w:val="af8"/>
        </w:pPr>
        <w:fldSimple w:instr=" PAGE   \* MERGEFORMAT ">
          <w:r w:rsidR="004E3873">
            <w:rPr>
              <w:noProof/>
            </w:rPr>
            <w:t>10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AA" w:rsidRDefault="008756AA" w:rsidP="005F32B8">
    <w:pPr>
      <w:pStyle w:val="af8"/>
      <w:jc w:val="left"/>
    </w:pPr>
  </w:p>
  <w:p w:rsidR="008756AA" w:rsidRPr="00B76A5D" w:rsidRDefault="008756AA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8756AA" w:rsidRPr="005F32B8" w:rsidRDefault="008756AA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14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43" w:rsidRDefault="00CF5743">
      <w:r>
        <w:separator/>
      </w:r>
    </w:p>
  </w:footnote>
  <w:footnote w:type="continuationSeparator" w:id="0">
    <w:p w:rsidR="00CF5743" w:rsidRDefault="00CF5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AA" w:rsidRPr="00E24A8E" w:rsidRDefault="008756AA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049"/>
    <w:rsid w:val="00010C06"/>
    <w:rsid w:val="00010CDD"/>
    <w:rsid w:val="00011BE6"/>
    <w:rsid w:val="00012C35"/>
    <w:rsid w:val="00012D19"/>
    <w:rsid w:val="00012E24"/>
    <w:rsid w:val="00013D3A"/>
    <w:rsid w:val="000140A8"/>
    <w:rsid w:val="00016098"/>
    <w:rsid w:val="000167E5"/>
    <w:rsid w:val="00016C3E"/>
    <w:rsid w:val="00016C79"/>
    <w:rsid w:val="00017B9B"/>
    <w:rsid w:val="00017E60"/>
    <w:rsid w:val="00017FBE"/>
    <w:rsid w:val="000214FC"/>
    <w:rsid w:val="00022338"/>
    <w:rsid w:val="00023803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4B0E"/>
    <w:rsid w:val="00086EE2"/>
    <w:rsid w:val="0008782C"/>
    <w:rsid w:val="0009056F"/>
    <w:rsid w:val="000907A6"/>
    <w:rsid w:val="00091321"/>
    <w:rsid w:val="000915BE"/>
    <w:rsid w:val="000916DD"/>
    <w:rsid w:val="00093197"/>
    <w:rsid w:val="00093535"/>
    <w:rsid w:val="00093CF4"/>
    <w:rsid w:val="00093D08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B86"/>
    <w:rsid w:val="000C6DB0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07240"/>
    <w:rsid w:val="001072C1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31AD"/>
    <w:rsid w:val="001D5BBC"/>
    <w:rsid w:val="001D6EF0"/>
    <w:rsid w:val="001D7047"/>
    <w:rsid w:val="001D7E97"/>
    <w:rsid w:val="001E0830"/>
    <w:rsid w:val="001E2F18"/>
    <w:rsid w:val="001E2FF9"/>
    <w:rsid w:val="001E33D5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0F2"/>
    <w:rsid w:val="002022B0"/>
    <w:rsid w:val="00202550"/>
    <w:rsid w:val="00203284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373D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28B"/>
    <w:rsid w:val="0023795C"/>
    <w:rsid w:val="00240013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C"/>
    <w:rsid w:val="0026579E"/>
    <w:rsid w:val="002657C3"/>
    <w:rsid w:val="00265D28"/>
    <w:rsid w:val="0026619F"/>
    <w:rsid w:val="0027040C"/>
    <w:rsid w:val="0027099E"/>
    <w:rsid w:val="002727AD"/>
    <w:rsid w:val="00272BAE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DC2"/>
    <w:rsid w:val="00285E0A"/>
    <w:rsid w:val="002866ED"/>
    <w:rsid w:val="00286DA7"/>
    <w:rsid w:val="00290C15"/>
    <w:rsid w:val="00290FEA"/>
    <w:rsid w:val="00291F1E"/>
    <w:rsid w:val="00293158"/>
    <w:rsid w:val="002938FD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A5C50"/>
    <w:rsid w:val="002B0752"/>
    <w:rsid w:val="002B1518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AFE"/>
    <w:rsid w:val="002C6874"/>
    <w:rsid w:val="002C6C03"/>
    <w:rsid w:val="002D0871"/>
    <w:rsid w:val="002D1A19"/>
    <w:rsid w:val="002D20E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3F62"/>
    <w:rsid w:val="0034472A"/>
    <w:rsid w:val="00346BE4"/>
    <w:rsid w:val="0034710F"/>
    <w:rsid w:val="003471E8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4DDC"/>
    <w:rsid w:val="00376758"/>
    <w:rsid w:val="003768D5"/>
    <w:rsid w:val="00376D1E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3402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4AC2"/>
    <w:rsid w:val="004554AB"/>
    <w:rsid w:val="004566E7"/>
    <w:rsid w:val="00460419"/>
    <w:rsid w:val="0046133A"/>
    <w:rsid w:val="0046189C"/>
    <w:rsid w:val="0046266C"/>
    <w:rsid w:val="00464412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03C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39CA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6023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3873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5240"/>
    <w:rsid w:val="004F5616"/>
    <w:rsid w:val="004F64D6"/>
    <w:rsid w:val="0050072A"/>
    <w:rsid w:val="005026B8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99"/>
    <w:rsid w:val="00542008"/>
    <w:rsid w:val="00542113"/>
    <w:rsid w:val="0054261C"/>
    <w:rsid w:val="00543784"/>
    <w:rsid w:val="00544514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D34"/>
    <w:rsid w:val="005571D2"/>
    <w:rsid w:val="00557CDA"/>
    <w:rsid w:val="00561AA2"/>
    <w:rsid w:val="0056340E"/>
    <w:rsid w:val="00564E01"/>
    <w:rsid w:val="00565CA7"/>
    <w:rsid w:val="00566A1C"/>
    <w:rsid w:val="00570F52"/>
    <w:rsid w:val="0057268E"/>
    <w:rsid w:val="005730C6"/>
    <w:rsid w:val="005737A5"/>
    <w:rsid w:val="00574870"/>
    <w:rsid w:val="00574C09"/>
    <w:rsid w:val="005750E1"/>
    <w:rsid w:val="005762C0"/>
    <w:rsid w:val="00576628"/>
    <w:rsid w:val="00577FE1"/>
    <w:rsid w:val="005800B4"/>
    <w:rsid w:val="0058192D"/>
    <w:rsid w:val="00582A87"/>
    <w:rsid w:val="00583C65"/>
    <w:rsid w:val="0058527E"/>
    <w:rsid w:val="00586511"/>
    <w:rsid w:val="005867E9"/>
    <w:rsid w:val="005869F1"/>
    <w:rsid w:val="00587597"/>
    <w:rsid w:val="00590AA2"/>
    <w:rsid w:val="00591808"/>
    <w:rsid w:val="005928E8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906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5A75"/>
    <w:rsid w:val="005C6810"/>
    <w:rsid w:val="005C7FB8"/>
    <w:rsid w:val="005D2E4C"/>
    <w:rsid w:val="005D3109"/>
    <w:rsid w:val="005D5056"/>
    <w:rsid w:val="005D676A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F14F7"/>
    <w:rsid w:val="005F32B8"/>
    <w:rsid w:val="005F5C4F"/>
    <w:rsid w:val="005F5E4D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13B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2F6D"/>
    <w:rsid w:val="007B33D3"/>
    <w:rsid w:val="007B4F23"/>
    <w:rsid w:val="007B5CA7"/>
    <w:rsid w:val="007B6024"/>
    <w:rsid w:val="007B644B"/>
    <w:rsid w:val="007B7BE9"/>
    <w:rsid w:val="007C067B"/>
    <w:rsid w:val="007C1596"/>
    <w:rsid w:val="007C2A05"/>
    <w:rsid w:val="007C3DFF"/>
    <w:rsid w:val="007C51B2"/>
    <w:rsid w:val="007C65A8"/>
    <w:rsid w:val="007C69D5"/>
    <w:rsid w:val="007C6B05"/>
    <w:rsid w:val="007C6F75"/>
    <w:rsid w:val="007C7877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998"/>
    <w:rsid w:val="00824B84"/>
    <w:rsid w:val="00824CB8"/>
    <w:rsid w:val="00825308"/>
    <w:rsid w:val="00825FF6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2EC7"/>
    <w:rsid w:val="00874D86"/>
    <w:rsid w:val="008756AA"/>
    <w:rsid w:val="00875F67"/>
    <w:rsid w:val="008809FF"/>
    <w:rsid w:val="00880A19"/>
    <w:rsid w:val="00883419"/>
    <w:rsid w:val="00885214"/>
    <w:rsid w:val="00885678"/>
    <w:rsid w:val="00885D26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4BE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8F6EB3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8DE"/>
    <w:rsid w:val="00936C30"/>
    <w:rsid w:val="00940274"/>
    <w:rsid w:val="00940A73"/>
    <w:rsid w:val="0094216A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0A6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B7EA7"/>
    <w:rsid w:val="009C0283"/>
    <w:rsid w:val="009C146E"/>
    <w:rsid w:val="009C155A"/>
    <w:rsid w:val="009C21DE"/>
    <w:rsid w:val="009C261C"/>
    <w:rsid w:val="009C41CB"/>
    <w:rsid w:val="009C4395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F59"/>
    <w:rsid w:val="00AB08E8"/>
    <w:rsid w:val="00AB138E"/>
    <w:rsid w:val="00AC0322"/>
    <w:rsid w:val="00AC0662"/>
    <w:rsid w:val="00AC1BE3"/>
    <w:rsid w:val="00AC2518"/>
    <w:rsid w:val="00AC3237"/>
    <w:rsid w:val="00AC3C9B"/>
    <w:rsid w:val="00AC4A6A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724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31C"/>
    <w:rsid w:val="00B50747"/>
    <w:rsid w:val="00B53B4C"/>
    <w:rsid w:val="00B53F82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87"/>
    <w:rsid w:val="00B7303B"/>
    <w:rsid w:val="00B73FC7"/>
    <w:rsid w:val="00B74477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7111"/>
    <w:rsid w:val="00BB7EAB"/>
    <w:rsid w:val="00BC1566"/>
    <w:rsid w:val="00BC4C70"/>
    <w:rsid w:val="00BC5C31"/>
    <w:rsid w:val="00BC6D4D"/>
    <w:rsid w:val="00BC75B0"/>
    <w:rsid w:val="00BD22D4"/>
    <w:rsid w:val="00BD36A8"/>
    <w:rsid w:val="00BD5487"/>
    <w:rsid w:val="00BD612A"/>
    <w:rsid w:val="00BD63BA"/>
    <w:rsid w:val="00BD7697"/>
    <w:rsid w:val="00BE0C47"/>
    <w:rsid w:val="00BE5D0D"/>
    <w:rsid w:val="00BE70E4"/>
    <w:rsid w:val="00BF1C69"/>
    <w:rsid w:val="00BF27C1"/>
    <w:rsid w:val="00BF2ACA"/>
    <w:rsid w:val="00BF2EE5"/>
    <w:rsid w:val="00BF32E9"/>
    <w:rsid w:val="00BF37BB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3991"/>
    <w:rsid w:val="00C13D65"/>
    <w:rsid w:val="00C14073"/>
    <w:rsid w:val="00C15244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600BB"/>
    <w:rsid w:val="00C6324D"/>
    <w:rsid w:val="00C637BF"/>
    <w:rsid w:val="00C64301"/>
    <w:rsid w:val="00C66350"/>
    <w:rsid w:val="00C665AA"/>
    <w:rsid w:val="00C66D58"/>
    <w:rsid w:val="00C67B09"/>
    <w:rsid w:val="00C72F8E"/>
    <w:rsid w:val="00C737C8"/>
    <w:rsid w:val="00C7508B"/>
    <w:rsid w:val="00C76C64"/>
    <w:rsid w:val="00C81686"/>
    <w:rsid w:val="00C81CCA"/>
    <w:rsid w:val="00C83A58"/>
    <w:rsid w:val="00C84ADE"/>
    <w:rsid w:val="00C86DD3"/>
    <w:rsid w:val="00C86FBC"/>
    <w:rsid w:val="00C8712A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6258"/>
    <w:rsid w:val="00CB782F"/>
    <w:rsid w:val="00CB7D50"/>
    <w:rsid w:val="00CB7D73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6382"/>
    <w:rsid w:val="00CD7C28"/>
    <w:rsid w:val="00CE0BC0"/>
    <w:rsid w:val="00CE0CAF"/>
    <w:rsid w:val="00CE1823"/>
    <w:rsid w:val="00CE1FB7"/>
    <w:rsid w:val="00CE260D"/>
    <w:rsid w:val="00CE26E1"/>
    <w:rsid w:val="00CE46EB"/>
    <w:rsid w:val="00CE4A46"/>
    <w:rsid w:val="00CE5FD2"/>
    <w:rsid w:val="00CE6F80"/>
    <w:rsid w:val="00CF15E4"/>
    <w:rsid w:val="00CF1978"/>
    <w:rsid w:val="00CF1BA4"/>
    <w:rsid w:val="00CF2E4B"/>
    <w:rsid w:val="00CF5743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087A"/>
    <w:rsid w:val="00D52E60"/>
    <w:rsid w:val="00D530A4"/>
    <w:rsid w:val="00D531EC"/>
    <w:rsid w:val="00D53EE5"/>
    <w:rsid w:val="00D5529E"/>
    <w:rsid w:val="00D55960"/>
    <w:rsid w:val="00D5699F"/>
    <w:rsid w:val="00D57E15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6219"/>
    <w:rsid w:val="00D7623F"/>
    <w:rsid w:val="00D764F4"/>
    <w:rsid w:val="00D76CE3"/>
    <w:rsid w:val="00D80E19"/>
    <w:rsid w:val="00D80E25"/>
    <w:rsid w:val="00D81B34"/>
    <w:rsid w:val="00D81FC7"/>
    <w:rsid w:val="00D820ED"/>
    <w:rsid w:val="00D8265D"/>
    <w:rsid w:val="00D836E0"/>
    <w:rsid w:val="00D83BAF"/>
    <w:rsid w:val="00D83C1A"/>
    <w:rsid w:val="00D84411"/>
    <w:rsid w:val="00D85A2B"/>
    <w:rsid w:val="00D85D9B"/>
    <w:rsid w:val="00D8639E"/>
    <w:rsid w:val="00D87BFA"/>
    <w:rsid w:val="00D9139C"/>
    <w:rsid w:val="00D91718"/>
    <w:rsid w:val="00D91D13"/>
    <w:rsid w:val="00D91FF2"/>
    <w:rsid w:val="00D92E41"/>
    <w:rsid w:val="00D92E5E"/>
    <w:rsid w:val="00D95308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2ECB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9E1"/>
    <w:rsid w:val="00DE3BAA"/>
    <w:rsid w:val="00DE42D9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336F"/>
    <w:rsid w:val="00E15846"/>
    <w:rsid w:val="00E1675D"/>
    <w:rsid w:val="00E1715B"/>
    <w:rsid w:val="00E207C4"/>
    <w:rsid w:val="00E20A0E"/>
    <w:rsid w:val="00E20B62"/>
    <w:rsid w:val="00E22E36"/>
    <w:rsid w:val="00E23475"/>
    <w:rsid w:val="00E24A8E"/>
    <w:rsid w:val="00E24CAD"/>
    <w:rsid w:val="00E25668"/>
    <w:rsid w:val="00E273A0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3C9"/>
    <w:rsid w:val="00E43E91"/>
    <w:rsid w:val="00E444EE"/>
    <w:rsid w:val="00E449FF"/>
    <w:rsid w:val="00E44DAE"/>
    <w:rsid w:val="00E4557E"/>
    <w:rsid w:val="00E456ED"/>
    <w:rsid w:val="00E45917"/>
    <w:rsid w:val="00E46521"/>
    <w:rsid w:val="00E466C6"/>
    <w:rsid w:val="00E467F5"/>
    <w:rsid w:val="00E476D6"/>
    <w:rsid w:val="00E523FB"/>
    <w:rsid w:val="00E52A8F"/>
    <w:rsid w:val="00E5369D"/>
    <w:rsid w:val="00E55B7A"/>
    <w:rsid w:val="00E56E17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158"/>
    <w:rsid w:val="00E85CA7"/>
    <w:rsid w:val="00E86078"/>
    <w:rsid w:val="00E90517"/>
    <w:rsid w:val="00E90B27"/>
    <w:rsid w:val="00E91AB3"/>
    <w:rsid w:val="00E91DC2"/>
    <w:rsid w:val="00E9288E"/>
    <w:rsid w:val="00E9378C"/>
    <w:rsid w:val="00E942CF"/>
    <w:rsid w:val="00E95E26"/>
    <w:rsid w:val="00E96697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F26"/>
    <w:rsid w:val="00F43164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43E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30E6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0A10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3BA9-D4CE-4FF0-A74B-AB85C0CE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3290</Words>
  <Characters>18753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22000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2014-12-19T08:18:00Z</dcterms:created>
  <dcterms:modified xsi:type="dcterms:W3CDTF">2014-12-26T13:04:00Z</dcterms:modified>
</cp:coreProperties>
</file>